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997E4E">
      <w:pPr>
        <w:pStyle w:val="3"/>
        <w:jc w:val="center"/>
        <w:rPr>
          <w:rFonts w:hint="eastAsia" w:ascii="方正小标宋简体" w:hAnsi="方正小标宋简体" w:eastAsia="方正小标宋简体" w:cs="方正小标宋简体"/>
          <w:color w:val="auto"/>
          <w:w w:val="95"/>
          <w:sz w:val="44"/>
          <w:szCs w:val="44"/>
          <w:lang w:val="en-US" w:eastAsia="zh-CN"/>
        </w:rPr>
      </w:pPr>
      <w:r>
        <w:rPr>
          <w:rFonts w:hint="eastAsia" w:ascii="方正小标宋简体" w:hAnsi="方正小标宋简体" w:eastAsia="方正小标宋简体" w:cs="方正小标宋简体"/>
          <w:color w:val="auto"/>
          <w:w w:val="95"/>
          <w:sz w:val="44"/>
          <w:szCs w:val="44"/>
          <w:lang w:val="en-US" w:eastAsia="zh-CN"/>
        </w:rPr>
        <w:t>东至至鄱阳高速公路安徽段东至管理分中心项目、G0321德州至上饶高速公路祁门</w:t>
      </w:r>
    </w:p>
    <w:p w14:paraId="6A54BBBD">
      <w:pPr>
        <w:pStyle w:val="3"/>
        <w:jc w:val="center"/>
        <w:rPr>
          <w:rFonts w:hint="eastAsia" w:ascii="方正小标宋简体" w:hAnsi="方正小标宋简体" w:eastAsia="方正小标宋简体" w:cs="方正小标宋简体"/>
          <w:color w:val="auto"/>
          <w:w w:val="95"/>
          <w:sz w:val="44"/>
          <w:szCs w:val="44"/>
          <w:lang w:val="en-US" w:eastAsia="zh-CN"/>
        </w:rPr>
      </w:pPr>
      <w:r>
        <w:rPr>
          <w:rFonts w:hint="eastAsia" w:ascii="方正小标宋简体" w:hAnsi="方正小标宋简体" w:eastAsia="方正小标宋简体" w:cs="方正小标宋简体"/>
          <w:color w:val="auto"/>
          <w:w w:val="95"/>
          <w:sz w:val="44"/>
          <w:szCs w:val="44"/>
          <w:lang w:val="en-US" w:eastAsia="zh-CN"/>
        </w:rPr>
        <w:t>至皖赣界段房建工程项目电器</w:t>
      </w:r>
    </w:p>
    <w:p w14:paraId="22A2312A">
      <w:pPr>
        <w:pStyle w:val="3"/>
        <w:jc w:val="center"/>
        <w:rPr>
          <w:color w:val="auto"/>
        </w:rPr>
      </w:pPr>
      <w:r>
        <w:rPr>
          <w:rFonts w:hint="eastAsia" w:ascii="方正小标宋简体" w:hAnsi="方正小标宋简体" w:eastAsia="方正小标宋简体" w:cs="方正小标宋简体"/>
          <w:color w:val="auto"/>
          <w:w w:val="95"/>
          <w:sz w:val="44"/>
          <w:szCs w:val="44"/>
          <w:lang w:val="en-US" w:eastAsia="zh-CN"/>
        </w:rPr>
        <w:t>采购及安装项目</w:t>
      </w:r>
    </w:p>
    <w:p w14:paraId="3441B4D6">
      <w:pPr>
        <w:rPr>
          <w:color w:val="auto"/>
        </w:rPr>
      </w:pPr>
    </w:p>
    <w:p w14:paraId="0214B40C">
      <w:pPr>
        <w:pStyle w:val="2"/>
        <w:rPr>
          <w:color w:val="auto"/>
        </w:rPr>
      </w:pPr>
    </w:p>
    <w:p w14:paraId="04B3ED74">
      <w:pPr>
        <w:rPr>
          <w:color w:val="auto"/>
        </w:rPr>
      </w:pPr>
    </w:p>
    <w:p w14:paraId="06AE4A48">
      <w:pPr>
        <w:pStyle w:val="2"/>
        <w:rPr>
          <w:color w:val="auto"/>
        </w:rPr>
      </w:pPr>
    </w:p>
    <w:p w14:paraId="053D79B0">
      <w:pPr>
        <w:rPr>
          <w:color w:val="auto"/>
        </w:rPr>
      </w:pPr>
    </w:p>
    <w:p w14:paraId="57C356D9">
      <w:pPr>
        <w:pStyle w:val="2"/>
        <w:rPr>
          <w:rFonts w:ascii="Times New Roman" w:hAnsi="Times New Roman" w:cs="Times New Roman"/>
          <w:color w:val="auto"/>
          <w:szCs w:val="21"/>
        </w:rPr>
      </w:pPr>
    </w:p>
    <w:p w14:paraId="2E021D61">
      <w:pPr>
        <w:pStyle w:val="3"/>
        <w:rPr>
          <w:color w:val="auto"/>
        </w:rPr>
      </w:pPr>
    </w:p>
    <w:p w14:paraId="21A2645F">
      <w:pPr>
        <w:pStyle w:val="3"/>
        <w:rPr>
          <w:color w:val="auto"/>
        </w:rPr>
      </w:pPr>
    </w:p>
    <w:p w14:paraId="7BE7AC41">
      <w:pPr>
        <w:pStyle w:val="2"/>
        <w:rPr>
          <w:rFonts w:ascii="Times New Roman" w:hAnsi="Times New Roman" w:cs="Times New Roman"/>
          <w:color w:val="auto"/>
          <w:szCs w:val="21"/>
        </w:rPr>
      </w:pPr>
    </w:p>
    <w:p w14:paraId="01C82943">
      <w:pPr>
        <w:pStyle w:val="3"/>
        <w:rPr>
          <w:rFonts w:ascii="Times New Roman" w:hAnsi="Times New Roman" w:cs="Times New Roman"/>
          <w:color w:val="auto"/>
          <w:szCs w:val="21"/>
        </w:rPr>
      </w:pPr>
    </w:p>
    <w:p w14:paraId="76E39553">
      <w:pPr>
        <w:jc w:val="center"/>
        <w:rPr>
          <w:rFonts w:ascii="Times New Roman" w:hAnsi="Times New Roman" w:eastAsia="黑体" w:cs="Times New Roman"/>
          <w:color w:val="auto"/>
          <w:sz w:val="72"/>
          <w:szCs w:val="72"/>
        </w:rPr>
      </w:pPr>
      <w:r>
        <w:rPr>
          <w:rFonts w:ascii="Times New Roman" w:hAnsi="Times New Roman" w:eastAsia="黑体" w:cs="Times New Roman"/>
          <w:color w:val="auto"/>
          <w:sz w:val="72"/>
          <w:szCs w:val="72"/>
        </w:rPr>
        <w:t>询  比  文  件</w:t>
      </w:r>
    </w:p>
    <w:p w14:paraId="13E494E2">
      <w:pPr>
        <w:spacing w:line="540" w:lineRule="exact"/>
        <w:ind w:firstLine="420"/>
        <w:rPr>
          <w:rFonts w:ascii="Times New Roman" w:hAnsi="Times New Roman" w:cs="Times New Roman"/>
          <w:color w:val="auto"/>
          <w:szCs w:val="21"/>
        </w:rPr>
      </w:pPr>
    </w:p>
    <w:p w14:paraId="433052BB">
      <w:pPr>
        <w:spacing w:line="540" w:lineRule="exact"/>
        <w:ind w:firstLine="420"/>
        <w:rPr>
          <w:rFonts w:ascii="Times New Roman" w:hAnsi="Times New Roman" w:cs="Times New Roman"/>
          <w:color w:val="auto"/>
          <w:szCs w:val="21"/>
        </w:rPr>
      </w:pPr>
    </w:p>
    <w:p w14:paraId="2FE2A55A">
      <w:pPr>
        <w:spacing w:line="540" w:lineRule="exact"/>
        <w:ind w:firstLine="420"/>
        <w:rPr>
          <w:rFonts w:ascii="Times New Roman" w:hAnsi="Times New Roman" w:cs="Times New Roman"/>
          <w:color w:val="auto"/>
          <w:szCs w:val="21"/>
        </w:rPr>
      </w:pPr>
    </w:p>
    <w:p w14:paraId="24EE4A3C">
      <w:pPr>
        <w:spacing w:line="540" w:lineRule="exact"/>
        <w:ind w:firstLine="420"/>
        <w:rPr>
          <w:rFonts w:ascii="Times New Roman" w:hAnsi="Times New Roman" w:cs="Times New Roman"/>
          <w:color w:val="auto"/>
          <w:szCs w:val="21"/>
        </w:rPr>
      </w:pPr>
    </w:p>
    <w:p w14:paraId="0F5DF094">
      <w:pPr>
        <w:spacing w:line="540" w:lineRule="exact"/>
        <w:rPr>
          <w:rFonts w:ascii="Times New Roman" w:hAnsi="Times New Roman" w:cs="Times New Roman"/>
          <w:color w:val="auto"/>
          <w:szCs w:val="21"/>
        </w:rPr>
      </w:pPr>
    </w:p>
    <w:p w14:paraId="21E31DD5">
      <w:pPr>
        <w:spacing w:line="540" w:lineRule="exact"/>
        <w:ind w:firstLine="420"/>
        <w:rPr>
          <w:rFonts w:ascii="Times New Roman" w:hAnsi="Times New Roman" w:cs="Times New Roman"/>
          <w:color w:val="auto"/>
          <w:szCs w:val="21"/>
        </w:rPr>
      </w:pPr>
    </w:p>
    <w:p w14:paraId="20FC3379">
      <w:pPr>
        <w:spacing w:line="540" w:lineRule="exact"/>
        <w:ind w:firstLine="640"/>
        <w:rPr>
          <w:rFonts w:ascii="Times New Roman" w:hAnsi="Times New Roman" w:eastAsia="黑体" w:cs="Times New Roman"/>
          <w:color w:val="auto"/>
          <w:sz w:val="32"/>
          <w:szCs w:val="32"/>
        </w:rPr>
      </w:pPr>
    </w:p>
    <w:p w14:paraId="064F5A30">
      <w:pPr>
        <w:spacing w:line="480" w:lineRule="auto"/>
        <w:ind w:left="1896" w:leftChars="903"/>
        <w:rPr>
          <w:rFonts w:ascii="Times New Roman" w:hAnsi="Times New Roman" w:cs="Times New Roman"/>
          <w:color w:val="auto"/>
          <w:szCs w:val="21"/>
        </w:rPr>
      </w:pPr>
    </w:p>
    <w:p w14:paraId="2D43A3E1">
      <w:pPr>
        <w:snapToGrid w:val="0"/>
        <w:spacing w:line="480" w:lineRule="auto"/>
        <w:ind w:firstLine="1600" w:firstLineChars="500"/>
        <w:rPr>
          <w:rFonts w:hint="default" w:ascii="Times New Roman" w:hAnsi="Times New Roman" w:eastAsia="黑体" w:cs="Times New Roman"/>
          <w:color w:val="auto"/>
          <w:sz w:val="32"/>
          <w:szCs w:val="32"/>
          <w:u w:val="single"/>
          <w:lang w:val="en-US" w:eastAsia="zh-CN"/>
        </w:rPr>
      </w:pPr>
      <w:r>
        <w:rPr>
          <w:rFonts w:ascii="Times New Roman" w:hAnsi="Times New Roman" w:eastAsia="黑体" w:cs="Times New Roman"/>
          <w:color w:val="auto"/>
          <w:sz w:val="32"/>
          <w:szCs w:val="32"/>
        </w:rPr>
        <w:t>采</w:t>
      </w:r>
      <w:r>
        <w:rPr>
          <w:rFonts w:hint="eastAsia" w:ascii="Times New Roman" w:hAnsi="Times New Roman" w:eastAsia="黑体" w:cs="Times New Roman"/>
          <w:color w:val="auto"/>
          <w:sz w:val="32"/>
          <w:szCs w:val="32"/>
        </w:rPr>
        <w:t xml:space="preserve"> </w:t>
      </w:r>
      <w:r>
        <w:rPr>
          <w:rFonts w:ascii="Times New Roman" w:hAnsi="Times New Roman" w:eastAsia="黑体" w:cs="Times New Roman"/>
          <w:color w:val="auto"/>
          <w:sz w:val="32"/>
          <w:szCs w:val="32"/>
        </w:rPr>
        <w:t>购</w:t>
      </w:r>
      <w:r>
        <w:rPr>
          <w:rFonts w:hint="eastAsia" w:ascii="Times New Roman" w:hAnsi="Times New Roman" w:eastAsia="黑体" w:cs="Times New Roman"/>
          <w:color w:val="auto"/>
          <w:sz w:val="32"/>
          <w:szCs w:val="32"/>
        </w:rPr>
        <w:t xml:space="preserve"> </w:t>
      </w:r>
      <w:r>
        <w:rPr>
          <w:rFonts w:ascii="Times New Roman" w:hAnsi="Times New Roman" w:eastAsia="黑体" w:cs="Times New Roman"/>
          <w:color w:val="auto"/>
          <w:sz w:val="32"/>
          <w:szCs w:val="32"/>
        </w:rPr>
        <w:t>人：</w:t>
      </w:r>
      <w:r>
        <w:rPr>
          <w:rFonts w:ascii="Times New Roman" w:hAnsi="Times New Roman" w:eastAsia="黑体" w:cs="Times New Roman"/>
          <w:color w:val="auto"/>
          <w:sz w:val="32"/>
          <w:szCs w:val="32"/>
          <w:u w:val="single"/>
        </w:rPr>
        <w:t xml:space="preserve"> </w:t>
      </w:r>
      <w:r>
        <w:rPr>
          <w:rFonts w:hint="eastAsia" w:ascii="Times New Roman" w:hAnsi="Times New Roman" w:eastAsia="黑体" w:cs="Times New Roman"/>
          <w:color w:val="auto"/>
          <w:sz w:val="32"/>
          <w:szCs w:val="32"/>
          <w:u w:val="single"/>
          <w:lang w:eastAsia="zh-CN"/>
        </w:rPr>
        <w:t>安徽省经工物资有限公司</w:t>
      </w:r>
      <w:r>
        <w:rPr>
          <w:rFonts w:hint="eastAsia" w:ascii="Times New Roman" w:hAnsi="Times New Roman" w:eastAsia="黑体" w:cs="Times New Roman"/>
          <w:color w:val="auto"/>
          <w:sz w:val="32"/>
          <w:szCs w:val="32"/>
          <w:u w:val="single"/>
          <w:lang w:val="en-US" w:eastAsia="zh-CN"/>
        </w:rPr>
        <w:t xml:space="preserve"> </w:t>
      </w:r>
    </w:p>
    <w:p w14:paraId="16F2AA4F">
      <w:pPr>
        <w:snapToGrid w:val="0"/>
        <w:spacing w:line="480" w:lineRule="auto"/>
        <w:ind w:firstLine="1600" w:firstLineChars="500"/>
        <w:rPr>
          <w:rFonts w:ascii="Times New Roman" w:hAnsi="Times New Roman" w:cs="Times New Roman"/>
          <w:color w:val="auto"/>
          <w:sz w:val="32"/>
          <w:szCs w:val="32"/>
          <w:highlight w:val="none"/>
        </w:rPr>
      </w:pPr>
      <w:r>
        <w:rPr>
          <w:rFonts w:hint="eastAsia" w:ascii="黑体" w:hAnsi="黑体" w:eastAsia="黑体" w:cs="黑体"/>
          <w:color w:val="auto"/>
          <w:sz w:val="32"/>
          <w:szCs w:val="32"/>
          <w:highlight w:val="none"/>
        </w:rPr>
        <w:t>日    期</w:t>
      </w:r>
      <w:r>
        <w:rPr>
          <w:rFonts w:ascii="Times New Roman" w:hAnsi="Times New Roman" w:cs="Times New Roman"/>
          <w:color w:val="auto"/>
          <w:sz w:val="32"/>
          <w:szCs w:val="32"/>
          <w:highlight w:val="none"/>
        </w:rPr>
        <w:t>：</w:t>
      </w:r>
      <w:r>
        <w:rPr>
          <w:rFonts w:hint="eastAsia" w:ascii="Times New Roman" w:hAnsi="Times New Roman" w:eastAsia="黑体" w:cs="Times New Roman"/>
          <w:color w:val="auto"/>
          <w:sz w:val="32"/>
          <w:szCs w:val="32"/>
          <w:highlight w:val="none"/>
          <w:u w:val="single"/>
          <w:lang w:val="en-US" w:eastAsia="zh-CN"/>
        </w:rPr>
        <w:t>2025</w:t>
      </w:r>
      <w:r>
        <w:rPr>
          <w:rFonts w:ascii="Times New Roman" w:hAnsi="Times New Roman" w:cs="Times New Roman"/>
          <w:color w:val="auto"/>
          <w:sz w:val="32"/>
          <w:szCs w:val="32"/>
          <w:highlight w:val="none"/>
        </w:rPr>
        <w:t>年</w:t>
      </w:r>
      <w:r>
        <w:rPr>
          <w:rFonts w:hint="eastAsia" w:ascii="Times New Roman" w:hAnsi="Times New Roman" w:eastAsia="黑体" w:cs="Times New Roman"/>
          <w:color w:val="auto"/>
          <w:sz w:val="32"/>
          <w:szCs w:val="32"/>
          <w:highlight w:val="none"/>
          <w:u w:val="single"/>
          <w:lang w:val="en-US" w:eastAsia="zh-CN"/>
        </w:rPr>
        <w:t>9</w:t>
      </w:r>
      <w:r>
        <w:rPr>
          <w:rFonts w:ascii="Times New Roman" w:hAnsi="Times New Roman" w:cs="Times New Roman"/>
          <w:color w:val="auto"/>
          <w:sz w:val="32"/>
          <w:szCs w:val="32"/>
          <w:highlight w:val="none"/>
        </w:rPr>
        <w:t>月</w:t>
      </w:r>
    </w:p>
    <w:p w14:paraId="69E42FFB">
      <w:pPr>
        <w:rPr>
          <w:rFonts w:ascii="Times New Roman" w:hAnsi="Times New Roman" w:eastAsia="宋体" w:cs="Times New Roman"/>
          <w:color w:val="auto"/>
          <w:sz w:val="24"/>
        </w:rPr>
        <w:sectPr>
          <w:footerReference r:id="rId3" w:type="default"/>
          <w:pgSz w:w="11906" w:h="16838"/>
          <w:pgMar w:top="1440" w:right="1800" w:bottom="1440" w:left="1800" w:header="851" w:footer="992" w:gutter="0"/>
          <w:pgNumType w:fmt="decimal" w:start="1"/>
          <w:cols w:space="425" w:num="1"/>
          <w:docGrid w:type="lines" w:linePitch="312" w:charSpace="0"/>
        </w:sectPr>
      </w:pPr>
    </w:p>
    <w:sdt>
      <w:sdtPr>
        <w:rPr>
          <w:rFonts w:hint="eastAsia" w:ascii="宋体" w:hAnsi="宋体" w:eastAsia="宋体" w:cs="宋体"/>
          <w:color w:val="auto"/>
          <w:sz w:val="28"/>
          <w:szCs w:val="28"/>
        </w:rPr>
        <w:id w:val="147468455"/>
        <w15:color w:val="DBDBDB"/>
        <w:docPartObj>
          <w:docPartGallery w:val="Table of Contents"/>
          <w:docPartUnique/>
        </w:docPartObj>
      </w:sdtPr>
      <w:sdtEndPr>
        <w:rPr>
          <w:rFonts w:hint="eastAsia" w:ascii="宋体" w:hAnsi="宋体" w:eastAsia="宋体" w:cs="宋体"/>
          <w:color w:val="auto"/>
          <w:sz w:val="28"/>
          <w:szCs w:val="28"/>
        </w:rPr>
      </w:sdtEndPr>
      <w:sdtContent>
        <w:p w14:paraId="51EC9A52">
          <w:pPr>
            <w:jc w:val="center"/>
            <w:rPr>
              <w:rFonts w:hint="eastAsia" w:ascii="宋体" w:hAnsi="宋体" w:eastAsia="宋体" w:cs="宋体"/>
              <w:color w:val="auto"/>
              <w:sz w:val="28"/>
              <w:szCs w:val="28"/>
            </w:rPr>
          </w:pPr>
          <w:r>
            <w:rPr>
              <w:rFonts w:hint="eastAsia" w:ascii="宋体" w:hAnsi="宋体" w:eastAsia="宋体" w:cs="宋体"/>
              <w:color w:val="auto"/>
              <w:sz w:val="28"/>
              <w:szCs w:val="28"/>
            </w:rPr>
            <w:t>目</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录</w:t>
          </w:r>
        </w:p>
        <w:p w14:paraId="5C4F8EBD">
          <w:pPr>
            <w:pStyle w:val="14"/>
            <w:tabs>
              <w:tab w:val="right" w:leader="dot" w:pos="8312"/>
            </w:tabs>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TOC \o "1-1" \h \u </w:instrText>
          </w:r>
          <w:r>
            <w:rPr>
              <w:rFonts w:hint="eastAsia" w:ascii="宋体" w:hAnsi="宋体" w:eastAsia="宋体" w:cs="宋体"/>
              <w:color w:val="auto"/>
              <w:sz w:val="28"/>
              <w:szCs w:val="28"/>
            </w:rPr>
            <w:fldChar w:fldCharType="separate"/>
          </w: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_Toc21008 </w:instrText>
          </w:r>
          <w:r>
            <w:rPr>
              <w:rFonts w:hint="eastAsia" w:ascii="宋体" w:hAnsi="宋体" w:eastAsia="宋体" w:cs="宋体"/>
              <w:szCs w:val="28"/>
            </w:rPr>
            <w:fldChar w:fldCharType="separate"/>
          </w:r>
          <w:r>
            <w:rPr>
              <w:rFonts w:hint="eastAsia" w:ascii="Times New Roman" w:hAnsi="Times New Roman" w:eastAsia="宋体" w:cs="Times New Roman"/>
            </w:rPr>
            <w:t xml:space="preserve">第一章 </w:t>
          </w:r>
          <w:r>
            <w:rPr>
              <w:rFonts w:ascii="Times New Roman" w:hAnsi="Times New Roman" w:eastAsia="宋体" w:cs="Times New Roman"/>
            </w:rPr>
            <w:t>采购</w:t>
          </w:r>
          <w:r>
            <w:rPr>
              <w:rFonts w:hint="eastAsia" w:ascii="Times New Roman" w:hAnsi="Times New Roman" w:eastAsia="宋体" w:cs="Times New Roman"/>
              <w:lang w:val="en-US" w:eastAsia="zh-CN"/>
            </w:rPr>
            <w:t>公告</w:t>
          </w:r>
          <w:r>
            <w:tab/>
          </w:r>
          <w:r>
            <w:fldChar w:fldCharType="begin"/>
          </w:r>
          <w:r>
            <w:instrText xml:space="preserve"> PAGEREF _Toc21008 \h </w:instrText>
          </w:r>
          <w:r>
            <w:fldChar w:fldCharType="separate"/>
          </w:r>
          <w:r>
            <w:t>3</w:t>
          </w:r>
          <w:r>
            <w:fldChar w:fldCharType="end"/>
          </w:r>
          <w:r>
            <w:rPr>
              <w:rFonts w:hint="eastAsia" w:ascii="宋体" w:hAnsi="宋体" w:eastAsia="宋体" w:cs="宋体"/>
              <w:color w:val="auto"/>
              <w:szCs w:val="28"/>
            </w:rPr>
            <w:fldChar w:fldCharType="end"/>
          </w:r>
        </w:p>
        <w:p w14:paraId="19E08054">
          <w:pPr>
            <w:pStyle w:val="14"/>
            <w:tabs>
              <w:tab w:val="right" w:leader="dot" w:pos="8312"/>
            </w:tabs>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_Toc28730 </w:instrText>
          </w:r>
          <w:r>
            <w:rPr>
              <w:rFonts w:hint="eastAsia" w:ascii="宋体" w:hAnsi="宋体" w:eastAsia="宋体" w:cs="宋体"/>
              <w:szCs w:val="28"/>
            </w:rPr>
            <w:fldChar w:fldCharType="separate"/>
          </w:r>
          <w:r>
            <w:rPr>
              <w:rFonts w:hint="eastAsia" w:ascii="Times New Roman" w:hAnsi="Times New Roman" w:eastAsia="宋体" w:cs="Times New Roman"/>
            </w:rPr>
            <w:t xml:space="preserve">第二章 </w:t>
          </w:r>
          <w:r>
            <w:rPr>
              <w:rFonts w:ascii="Times New Roman" w:hAnsi="Times New Roman" w:eastAsia="宋体" w:cs="Times New Roman"/>
            </w:rPr>
            <w:t>供应商须知</w:t>
          </w:r>
          <w:r>
            <w:tab/>
          </w:r>
          <w:r>
            <w:fldChar w:fldCharType="begin"/>
          </w:r>
          <w:r>
            <w:instrText xml:space="preserve"> PAGEREF _Toc28730 \h </w:instrText>
          </w:r>
          <w:r>
            <w:fldChar w:fldCharType="separate"/>
          </w:r>
          <w:r>
            <w:t>7</w:t>
          </w:r>
          <w:r>
            <w:fldChar w:fldCharType="end"/>
          </w:r>
          <w:r>
            <w:rPr>
              <w:rFonts w:hint="eastAsia" w:ascii="宋体" w:hAnsi="宋体" w:eastAsia="宋体" w:cs="宋体"/>
              <w:color w:val="auto"/>
              <w:szCs w:val="28"/>
            </w:rPr>
            <w:fldChar w:fldCharType="end"/>
          </w:r>
        </w:p>
        <w:p w14:paraId="1CF46F6D">
          <w:pPr>
            <w:pStyle w:val="14"/>
            <w:tabs>
              <w:tab w:val="right" w:leader="dot" w:pos="8312"/>
            </w:tabs>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_Toc11712 </w:instrText>
          </w:r>
          <w:r>
            <w:rPr>
              <w:rFonts w:hint="eastAsia" w:ascii="宋体" w:hAnsi="宋体" w:eastAsia="宋体" w:cs="宋体"/>
              <w:szCs w:val="28"/>
            </w:rPr>
            <w:fldChar w:fldCharType="separate"/>
          </w:r>
          <w:r>
            <w:rPr>
              <w:rFonts w:hint="eastAsia" w:ascii="Times New Roman" w:hAnsi="Times New Roman" w:eastAsia="宋体" w:cs="Times New Roman"/>
            </w:rPr>
            <w:t xml:space="preserve">第三章 </w:t>
          </w:r>
          <w:r>
            <w:rPr>
              <w:rFonts w:ascii="Times New Roman" w:hAnsi="Times New Roman" w:eastAsia="宋体" w:cs="Times New Roman"/>
            </w:rPr>
            <w:t>评审办法</w:t>
          </w:r>
          <w:r>
            <w:tab/>
          </w:r>
          <w:r>
            <w:fldChar w:fldCharType="begin"/>
          </w:r>
          <w:r>
            <w:instrText xml:space="preserve"> PAGEREF _Toc11712 \h </w:instrText>
          </w:r>
          <w:r>
            <w:fldChar w:fldCharType="separate"/>
          </w:r>
          <w:r>
            <w:t>17</w:t>
          </w:r>
          <w:r>
            <w:fldChar w:fldCharType="end"/>
          </w:r>
          <w:r>
            <w:rPr>
              <w:rFonts w:hint="eastAsia" w:ascii="宋体" w:hAnsi="宋体" w:eastAsia="宋体" w:cs="宋体"/>
              <w:color w:val="auto"/>
              <w:szCs w:val="28"/>
            </w:rPr>
            <w:fldChar w:fldCharType="end"/>
          </w:r>
        </w:p>
        <w:p w14:paraId="39765D83">
          <w:pPr>
            <w:pStyle w:val="14"/>
            <w:tabs>
              <w:tab w:val="right" w:leader="dot" w:pos="8312"/>
            </w:tabs>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_Toc19665 </w:instrText>
          </w:r>
          <w:r>
            <w:rPr>
              <w:rFonts w:hint="eastAsia" w:ascii="宋体" w:hAnsi="宋体" w:eastAsia="宋体" w:cs="宋体"/>
              <w:szCs w:val="28"/>
            </w:rPr>
            <w:fldChar w:fldCharType="separate"/>
          </w:r>
          <w:r>
            <w:rPr>
              <w:rFonts w:hint="eastAsia" w:ascii="Times New Roman" w:hAnsi="Times New Roman" w:eastAsia="宋体" w:cs="Times New Roman"/>
              <w:highlight w:val="none"/>
            </w:rPr>
            <w:t xml:space="preserve">第四章 </w:t>
          </w:r>
          <w:r>
            <w:rPr>
              <w:rFonts w:ascii="Times New Roman" w:hAnsi="Times New Roman" w:eastAsia="宋体" w:cs="Times New Roman"/>
              <w:highlight w:val="none"/>
            </w:rPr>
            <w:t>合同内容</w:t>
          </w:r>
          <w:r>
            <w:tab/>
          </w:r>
          <w:r>
            <w:fldChar w:fldCharType="begin"/>
          </w:r>
          <w:r>
            <w:instrText xml:space="preserve"> PAGEREF _Toc19665 \h </w:instrText>
          </w:r>
          <w:r>
            <w:fldChar w:fldCharType="separate"/>
          </w:r>
          <w:r>
            <w:t>24</w:t>
          </w:r>
          <w:r>
            <w:fldChar w:fldCharType="end"/>
          </w:r>
          <w:r>
            <w:rPr>
              <w:rFonts w:hint="eastAsia" w:ascii="宋体" w:hAnsi="宋体" w:eastAsia="宋体" w:cs="宋体"/>
              <w:color w:val="auto"/>
              <w:szCs w:val="28"/>
            </w:rPr>
            <w:fldChar w:fldCharType="end"/>
          </w:r>
        </w:p>
        <w:p w14:paraId="59EC9684">
          <w:pPr>
            <w:pStyle w:val="14"/>
            <w:tabs>
              <w:tab w:val="right" w:leader="dot" w:pos="8312"/>
            </w:tabs>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_Toc18852 </w:instrText>
          </w:r>
          <w:r>
            <w:rPr>
              <w:rFonts w:hint="eastAsia" w:ascii="宋体" w:hAnsi="宋体" w:eastAsia="宋体" w:cs="宋体"/>
              <w:szCs w:val="28"/>
            </w:rPr>
            <w:fldChar w:fldCharType="separate"/>
          </w:r>
          <w:r>
            <w:rPr>
              <w:rFonts w:hint="eastAsia" w:ascii="Times New Roman" w:hAnsi="Times New Roman" w:eastAsia="宋体" w:cs="Times New Roman"/>
              <w:lang w:val="en-US" w:eastAsia="zh-CN"/>
            </w:rPr>
            <w:t xml:space="preserve">第五章 </w:t>
          </w:r>
          <w:r>
            <w:rPr>
              <w:rFonts w:hint="eastAsia" w:ascii="Times New Roman" w:hAnsi="Times New Roman" w:eastAsia="宋体" w:cs="Times New Roman"/>
            </w:rPr>
            <w:t>供货要</w:t>
          </w:r>
          <w:r>
            <w:rPr>
              <w:rFonts w:ascii="Times New Roman" w:hAnsi="Times New Roman" w:eastAsia="宋体" w:cs="Times New Roman"/>
            </w:rPr>
            <w:t>求及清单</w:t>
          </w:r>
          <w:r>
            <w:tab/>
          </w:r>
          <w:r>
            <w:fldChar w:fldCharType="begin"/>
          </w:r>
          <w:r>
            <w:instrText xml:space="preserve"> PAGEREF _Toc18852 \h </w:instrText>
          </w:r>
          <w:r>
            <w:fldChar w:fldCharType="separate"/>
          </w:r>
          <w:r>
            <w:t>42</w:t>
          </w:r>
          <w:r>
            <w:fldChar w:fldCharType="end"/>
          </w:r>
          <w:r>
            <w:rPr>
              <w:rFonts w:hint="eastAsia" w:ascii="宋体" w:hAnsi="宋体" w:eastAsia="宋体" w:cs="宋体"/>
              <w:color w:val="auto"/>
              <w:szCs w:val="28"/>
            </w:rPr>
            <w:fldChar w:fldCharType="end"/>
          </w:r>
        </w:p>
        <w:p w14:paraId="15ECF2C2">
          <w:pPr>
            <w:pStyle w:val="14"/>
            <w:tabs>
              <w:tab w:val="right" w:leader="dot" w:pos="8312"/>
            </w:tabs>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_Toc25162 </w:instrText>
          </w:r>
          <w:r>
            <w:rPr>
              <w:rFonts w:hint="eastAsia" w:ascii="宋体" w:hAnsi="宋体" w:eastAsia="宋体" w:cs="宋体"/>
              <w:szCs w:val="28"/>
            </w:rPr>
            <w:fldChar w:fldCharType="separate"/>
          </w:r>
          <w:r>
            <w:rPr>
              <w:rFonts w:hint="eastAsia" w:ascii="Times New Roman" w:hAnsi="Times New Roman" w:eastAsia="宋体" w:cs="Times New Roman"/>
            </w:rPr>
            <w:t>第六章 响应文件格式</w:t>
          </w:r>
          <w:r>
            <w:tab/>
          </w:r>
          <w:r>
            <w:fldChar w:fldCharType="begin"/>
          </w:r>
          <w:r>
            <w:instrText xml:space="preserve"> PAGEREF _Toc25162 \h </w:instrText>
          </w:r>
          <w:r>
            <w:fldChar w:fldCharType="separate"/>
          </w:r>
          <w:r>
            <w:t>43</w:t>
          </w:r>
          <w:r>
            <w:fldChar w:fldCharType="end"/>
          </w:r>
          <w:r>
            <w:rPr>
              <w:rFonts w:hint="eastAsia" w:ascii="宋体" w:hAnsi="宋体" w:eastAsia="宋体" w:cs="宋体"/>
              <w:color w:val="auto"/>
              <w:szCs w:val="28"/>
            </w:rPr>
            <w:fldChar w:fldCharType="end"/>
          </w:r>
        </w:p>
        <w:p w14:paraId="7BCD11E0">
          <w:pPr>
            <w:jc w:val="center"/>
            <w:rPr>
              <w:rFonts w:hint="eastAsia" w:ascii="宋体" w:hAnsi="宋体" w:eastAsia="宋体"/>
              <w:color w:val="auto"/>
            </w:rPr>
          </w:pPr>
          <w:r>
            <w:rPr>
              <w:rFonts w:hint="eastAsia" w:ascii="宋体" w:hAnsi="宋体" w:eastAsia="宋体" w:cs="宋体"/>
              <w:color w:val="auto"/>
              <w:szCs w:val="28"/>
            </w:rPr>
            <w:fldChar w:fldCharType="end"/>
          </w:r>
        </w:p>
      </w:sdtContent>
    </w:sdt>
    <w:p w14:paraId="0533C63A">
      <w:pPr>
        <w:jc w:val="center"/>
        <w:rPr>
          <w:rFonts w:hint="eastAsia" w:ascii="宋体" w:hAnsi="宋体" w:eastAsia="宋体"/>
          <w:color w:val="auto"/>
        </w:rPr>
      </w:pPr>
    </w:p>
    <w:p w14:paraId="2E484F40">
      <w:pPr>
        <w:jc w:val="center"/>
        <w:rPr>
          <w:rFonts w:hint="eastAsia" w:ascii="宋体" w:hAnsi="宋体" w:eastAsia="宋体"/>
          <w:color w:val="auto"/>
        </w:rPr>
      </w:pPr>
    </w:p>
    <w:p w14:paraId="3E91C633">
      <w:pPr>
        <w:pStyle w:val="5"/>
        <w:spacing w:before="312" w:after="312"/>
        <w:rPr>
          <w:rFonts w:ascii="Times New Roman" w:hAnsi="Times New Roman" w:eastAsia="宋体" w:cs="Times New Roman"/>
          <w:color w:val="auto"/>
        </w:rPr>
        <w:sectPr>
          <w:footerReference r:id="rId4" w:type="default"/>
          <w:footnotePr>
            <w:numFmt w:val="decimalEnclosedCircleChinese"/>
            <w:numRestart w:val="eachPage"/>
          </w:footnotePr>
          <w:pgSz w:w="11906" w:h="16838"/>
          <w:pgMar w:top="1440" w:right="1797" w:bottom="1440" w:left="1797" w:header="851" w:footer="992" w:gutter="0"/>
          <w:pgNumType w:fmt="decimal"/>
          <w:cols w:space="720" w:num="1"/>
          <w:docGrid w:type="linesAndChars" w:linePitch="312" w:charSpace="0"/>
        </w:sectPr>
      </w:pPr>
    </w:p>
    <w:p w14:paraId="6FE8859B">
      <w:pPr>
        <w:pStyle w:val="5"/>
        <w:spacing w:before="312" w:after="312"/>
        <w:rPr>
          <w:rFonts w:ascii="Times New Roman" w:hAnsi="Times New Roman" w:eastAsia="宋体" w:cs="Times New Roman"/>
          <w:color w:val="auto"/>
        </w:rPr>
      </w:pPr>
      <w:bookmarkStart w:id="0" w:name="_Toc21008"/>
      <w:r>
        <w:rPr>
          <w:rFonts w:ascii="Times New Roman" w:hAnsi="Times New Roman" w:eastAsia="宋体" w:cs="Times New Roman"/>
          <w:color w:val="auto"/>
        </w:rPr>
        <w:t>采购</w:t>
      </w:r>
      <w:r>
        <w:rPr>
          <w:rFonts w:hint="eastAsia" w:ascii="Times New Roman" w:hAnsi="Times New Roman" w:eastAsia="宋体" w:cs="Times New Roman"/>
          <w:color w:val="auto"/>
          <w:lang w:val="en-US" w:eastAsia="zh-CN"/>
        </w:rPr>
        <w:t>公告</w:t>
      </w:r>
      <w:bookmarkEnd w:id="0"/>
    </w:p>
    <w:p w14:paraId="167102C3">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u w:val="single"/>
        </w:rPr>
      </w:pPr>
      <w:bookmarkStart w:id="1" w:name="_Toc12765"/>
      <w:bookmarkStart w:id="2" w:name="_Toc10395_WPSOffice_Level2"/>
      <w:bookmarkStart w:id="3" w:name="_Toc525632585"/>
      <w:bookmarkStart w:id="4" w:name="_Toc6496_WPSOffice_Level2"/>
      <w:bookmarkStart w:id="5" w:name="_Toc13871"/>
      <w:bookmarkStart w:id="6" w:name="_Toc4489_WPSOffice_Level2"/>
      <w:bookmarkStart w:id="7" w:name="_Toc24354_WPSOffice_Level2"/>
      <w:r>
        <w:rPr>
          <w:rFonts w:ascii="Times New Roman" w:hAnsi="Times New Roman" w:eastAsia="黑体" w:cs="Times New Roman"/>
          <w:bCs/>
          <w:color w:val="auto"/>
          <w:sz w:val="22"/>
          <w:szCs w:val="15"/>
          <w:u w:val="single"/>
        </w:rPr>
        <w:t>项目简介</w:t>
      </w:r>
      <w:bookmarkEnd w:id="1"/>
      <w:bookmarkEnd w:id="2"/>
      <w:bookmarkEnd w:id="3"/>
      <w:bookmarkEnd w:id="4"/>
      <w:bookmarkEnd w:id="5"/>
      <w:bookmarkEnd w:id="6"/>
      <w:bookmarkEnd w:id="7"/>
    </w:p>
    <w:p w14:paraId="0883B0BC">
      <w:pPr>
        <w:widowControl/>
        <w:ind w:firstLine="420" w:firstLineChars="200"/>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1.1项目名称：</w:t>
      </w:r>
      <w:r>
        <w:rPr>
          <w:rFonts w:hint="eastAsia" w:ascii="宋体" w:hAnsi="宋体" w:eastAsia="宋体" w:cs="宋体"/>
          <w:color w:val="auto"/>
          <w:szCs w:val="21"/>
          <w:highlight w:val="none"/>
          <w:u w:val="single"/>
          <w:lang w:eastAsia="zh-CN"/>
        </w:rPr>
        <w:t>东至至鄱阳高速公路安徽段东至管理分中心项目、G0321德州至上饶高速公路祁门至皖赣界段房建工程项目电器采购及安装项目。</w:t>
      </w:r>
    </w:p>
    <w:p w14:paraId="44CFDE41">
      <w:pPr>
        <w:snapToGrid w:val="0"/>
        <w:spacing w:line="400" w:lineRule="exact"/>
        <w:ind w:firstLine="420" w:firstLineChars="200"/>
        <w:rPr>
          <w:rFonts w:hint="eastAsia" w:ascii="宋体" w:hAnsi="宋体" w:eastAsia="宋体" w:cs="宋体"/>
          <w:color w:val="auto"/>
          <w:sz w:val="21"/>
          <w:szCs w:val="21"/>
          <w:highlight w:val="none"/>
          <w:u w:val="single"/>
          <w:lang w:eastAsia="zh-CN"/>
        </w:rPr>
      </w:pPr>
      <w:r>
        <w:rPr>
          <w:rFonts w:hint="eastAsia" w:ascii="宋体" w:hAnsi="宋体" w:eastAsia="宋体" w:cs="宋体"/>
          <w:color w:val="auto"/>
          <w:szCs w:val="21"/>
        </w:rPr>
        <w:t>1.2 采 购 人：</w:t>
      </w:r>
      <w:r>
        <w:rPr>
          <w:rFonts w:hint="eastAsia" w:ascii="宋体" w:hAnsi="宋体" w:eastAsia="宋体" w:cs="宋体"/>
          <w:color w:val="auto"/>
          <w:sz w:val="21"/>
          <w:szCs w:val="21"/>
          <w:highlight w:val="none"/>
          <w:u w:val="single"/>
          <w:lang w:val="en-US" w:eastAsia="zh-CN"/>
        </w:rPr>
        <w:t>安徽省经工物资有限公司</w:t>
      </w:r>
      <w:r>
        <w:rPr>
          <w:rFonts w:hint="eastAsia" w:ascii="宋体" w:hAnsi="宋体" w:eastAsia="宋体" w:cs="宋体"/>
          <w:color w:val="auto"/>
          <w:sz w:val="21"/>
          <w:szCs w:val="21"/>
          <w:highlight w:val="none"/>
          <w:u w:val="single"/>
          <w:lang w:eastAsia="zh-CN"/>
        </w:rPr>
        <w:t>。</w:t>
      </w:r>
    </w:p>
    <w:p w14:paraId="2C6247E8">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eastAsia" w:ascii="Times New Roman" w:hAnsi="Times New Roman" w:cs="Times New Roman"/>
          <w:color w:val="auto"/>
          <w:szCs w:val="22"/>
          <w:highlight w:val="none"/>
          <w:u w:val="single"/>
          <w:lang w:val="en-US" w:eastAsia="zh-CN"/>
        </w:rPr>
      </w:pPr>
      <w:r>
        <w:rPr>
          <w:rFonts w:hint="eastAsia" w:ascii="宋体" w:hAnsi="宋体" w:eastAsia="宋体" w:cs="宋体"/>
          <w:color w:val="auto"/>
          <w:szCs w:val="21"/>
        </w:rPr>
        <w:t>1.3 项目概况：</w:t>
      </w:r>
      <w:r>
        <w:rPr>
          <w:rFonts w:hint="eastAsia" w:ascii="宋体" w:hAnsi="宋体" w:eastAsia="宋体" w:cs="宋体"/>
          <w:color w:val="auto"/>
          <w:szCs w:val="21"/>
          <w:u w:val="single"/>
          <w:lang w:val="en-US" w:eastAsia="zh-CN"/>
        </w:rPr>
        <w:t>01包</w:t>
      </w:r>
      <w:r>
        <w:rPr>
          <w:rFonts w:hint="eastAsia" w:ascii="Times New Roman" w:hAnsi="Times New Roman" w:cs="Times New Roman"/>
          <w:color w:val="auto"/>
          <w:szCs w:val="22"/>
          <w:highlight w:val="none"/>
          <w:u w:val="single"/>
          <w:lang w:val="en-US" w:eastAsia="zh-CN"/>
        </w:rPr>
        <w:t>东鄱高速项目，采用PPP方式建设，根据项目办的安排，采用永临结合模式建设，该分中心建设后作为东鄱高速项目办用房，后期移交管理中心。该项目东至收费站用地范围内建设东至分中心，综合楼（4层）、食堂、设备房，总建筑面积3620平方米。</w:t>
      </w:r>
    </w:p>
    <w:p w14:paraId="42A66E46">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宋体" w:hAnsi="宋体" w:eastAsia="宋体" w:cs="宋体"/>
          <w:color w:val="auto"/>
          <w:szCs w:val="21"/>
          <w:lang w:val="en-US"/>
        </w:rPr>
      </w:pPr>
      <w:r>
        <w:rPr>
          <w:rFonts w:hint="eastAsia" w:ascii="Times New Roman" w:hAnsi="Times New Roman" w:cs="Times New Roman"/>
          <w:color w:val="auto"/>
          <w:szCs w:val="22"/>
          <w:highlight w:val="none"/>
          <w:u w:val="single"/>
          <w:lang w:val="en-US" w:eastAsia="zh-CN"/>
        </w:rPr>
        <w:t>02包</w:t>
      </w:r>
      <w:r>
        <w:rPr>
          <w:rFonts w:hint="eastAsia" w:ascii="Times New Roman" w:hAnsi="Times New Roman" w:eastAsia="宋体" w:cs="Times New Roman"/>
          <w:color w:val="auto"/>
          <w:sz w:val="21"/>
          <w:szCs w:val="21"/>
          <w:highlight w:val="none"/>
          <w:u w:val="single"/>
          <w:lang w:val="en-US" w:eastAsia="zh-CN"/>
        </w:rPr>
        <w:t>G0321德州至上饶高速公路祁门至皖赣界段房建工程项目：起于祁门县金字牌镇附近，顺接在建的德上高速池州至祁门段，途经祁门县凫峰镇、休宁县流口镇、汪村镇，止于四九尖山附近，终点对接在建的德上高速江西境婺源段，主线高速公路全长 31.17km，汪村互通连接线长 2.81km。本项目设置了完善的通讯、监控、收费以及安全设施，设置管理分中心 1 处，养护工区 1 处，隧道管理所 1 处，设有服务区 1 处，匝道收费站 2 处。</w:t>
      </w:r>
    </w:p>
    <w:p w14:paraId="05E14F5F">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rPr>
      </w:pPr>
      <w:bookmarkStart w:id="8" w:name="_Toc18367_WPSOffice_Level2"/>
      <w:bookmarkStart w:id="9" w:name="_Toc10274"/>
      <w:bookmarkStart w:id="10" w:name="_Toc23266_WPSOffice_Level2"/>
      <w:bookmarkStart w:id="11" w:name="_Toc525632586"/>
      <w:bookmarkStart w:id="12" w:name="_Toc18453"/>
      <w:bookmarkStart w:id="13" w:name="_Toc17858_WPSOffice_Level2"/>
      <w:bookmarkStart w:id="14" w:name="_Toc8128_WPSOffice_Level2"/>
      <w:r>
        <w:rPr>
          <w:rFonts w:ascii="Times New Roman" w:hAnsi="Times New Roman" w:eastAsia="黑体" w:cs="Times New Roman"/>
          <w:bCs/>
          <w:color w:val="auto"/>
          <w:sz w:val="22"/>
          <w:szCs w:val="15"/>
        </w:rPr>
        <w:t>采购说明</w:t>
      </w:r>
      <w:bookmarkEnd w:id="8"/>
      <w:bookmarkEnd w:id="9"/>
      <w:bookmarkEnd w:id="10"/>
      <w:bookmarkEnd w:id="11"/>
      <w:bookmarkEnd w:id="12"/>
      <w:bookmarkEnd w:id="13"/>
      <w:bookmarkEnd w:id="14"/>
    </w:p>
    <w:p w14:paraId="34E3069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bookmarkStart w:id="15" w:name="_Toc4489_WPSOffice_Level3"/>
      <w:bookmarkStart w:id="16" w:name="_Toc22379_WPSOffice_Level2"/>
      <w:bookmarkStart w:id="17" w:name="_Toc31673_WPSOffice_Level2"/>
      <w:bookmarkStart w:id="18" w:name="_Toc6388"/>
      <w:bookmarkStart w:id="19" w:name="_Toc525632587"/>
      <w:bookmarkStart w:id="20" w:name="_Toc3714"/>
      <w:bookmarkStart w:id="21" w:name="_Toc29516_WPSOffice_Level2"/>
      <w:bookmarkStart w:id="22" w:name="_Toc1622_WPSOffice_Level2"/>
      <w:r>
        <w:rPr>
          <w:rFonts w:hint="default" w:ascii="Times New Roman" w:hAnsi="Times New Roman" w:eastAsia="宋体" w:cs="Times New Roman"/>
          <w:color w:val="auto"/>
          <w:szCs w:val="21"/>
          <w:highlight w:val="none"/>
        </w:rPr>
        <w:t>2.1 采购方式：</w:t>
      </w:r>
      <w:bookmarkEnd w:id="15"/>
      <w:r>
        <w:rPr>
          <w:rFonts w:hint="default" w:ascii="Times New Roman" w:hAnsi="Times New Roman" w:eastAsia="宋体" w:cs="Times New Roman"/>
          <w:color w:val="auto"/>
          <w:szCs w:val="21"/>
          <w:highlight w:val="none"/>
          <w:u w:val="single"/>
          <w:lang w:val="en-US" w:eastAsia="zh-CN"/>
        </w:rPr>
        <w:t>询比采购</w:t>
      </w:r>
      <w:r>
        <w:rPr>
          <w:rFonts w:hint="eastAsia" w:ascii="Times New Roman" w:hAnsi="Times New Roman" w:eastAsia="宋体" w:cs="Times New Roman"/>
          <w:color w:val="auto"/>
          <w:szCs w:val="21"/>
          <w:highlight w:val="none"/>
          <w:u w:val="single"/>
          <w:lang w:val="en-US" w:eastAsia="zh-CN"/>
        </w:rPr>
        <w:t>。</w:t>
      </w:r>
    </w:p>
    <w:p w14:paraId="3340702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eastAsia="zh-CN"/>
        </w:rPr>
      </w:pPr>
      <w:bookmarkStart w:id="23" w:name="_Toc23266_WPSOffice_Level3"/>
      <w:r>
        <w:rPr>
          <w:rFonts w:hint="default" w:ascii="Times New Roman" w:hAnsi="Times New Roman" w:eastAsia="宋体" w:cs="Times New Roman"/>
          <w:color w:val="auto"/>
          <w:szCs w:val="21"/>
          <w:highlight w:val="none"/>
        </w:rPr>
        <w:t>2.2 资金来源及比例：</w:t>
      </w:r>
      <w:bookmarkEnd w:id="23"/>
      <w:bookmarkStart w:id="24" w:name="_Toc22379_WPSOffice_Level3"/>
      <w:r>
        <w:rPr>
          <w:rFonts w:hint="default" w:ascii="Times New Roman" w:hAnsi="Times New Roman" w:eastAsia="宋体" w:cs="Times New Roman"/>
          <w:color w:val="auto"/>
          <w:szCs w:val="21"/>
          <w:highlight w:val="none"/>
          <w:u w:val="single"/>
        </w:rPr>
        <w:t>100%来自企业自筹</w:t>
      </w:r>
      <w:r>
        <w:rPr>
          <w:rFonts w:hint="eastAsia" w:ascii="Times New Roman" w:hAnsi="Times New Roman" w:eastAsia="宋体" w:cs="Times New Roman"/>
          <w:color w:val="auto"/>
          <w:szCs w:val="21"/>
          <w:highlight w:val="none"/>
          <w:u w:val="single"/>
          <w:lang w:eastAsia="zh-CN"/>
        </w:rPr>
        <w:t>。</w:t>
      </w:r>
    </w:p>
    <w:p w14:paraId="006B79F2">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2.3 采购范围：</w:t>
      </w:r>
      <w:r>
        <w:rPr>
          <w:rFonts w:hint="default" w:ascii="Times New Roman" w:hAnsi="Times New Roman" w:eastAsia="宋体" w:cs="Times New Roman"/>
          <w:color w:val="auto"/>
          <w:szCs w:val="21"/>
          <w:highlight w:val="none"/>
          <w:u w:val="single"/>
          <w:lang w:val="en-US" w:eastAsia="zh-CN"/>
        </w:rPr>
        <w:t>具体详见第五章供货要求及清单。</w:t>
      </w:r>
    </w:p>
    <w:p w14:paraId="38AFF0E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r>
        <w:rPr>
          <w:rFonts w:hint="default" w:ascii="Times New Roman" w:hAnsi="Times New Roman" w:eastAsia="宋体" w:cs="Times New Roman"/>
          <w:color w:val="auto"/>
          <w:szCs w:val="21"/>
          <w:highlight w:val="none"/>
          <w:lang w:val="en-US" w:eastAsia="zh-CN"/>
        </w:rPr>
        <w:t>2.4 品牌范围：</w:t>
      </w:r>
      <w:r>
        <w:rPr>
          <w:rFonts w:hint="eastAsia" w:ascii="Times New Roman" w:hAnsi="Times New Roman" w:eastAsia="宋体" w:cs="Times New Roman"/>
          <w:color w:val="auto"/>
          <w:szCs w:val="21"/>
          <w:highlight w:val="none"/>
          <w:u w:val="single"/>
          <w:lang w:val="en-US" w:eastAsia="zh-CN"/>
        </w:rPr>
        <w:t>详见采购清单。</w:t>
      </w:r>
    </w:p>
    <w:bookmarkEnd w:id="24"/>
    <w:p w14:paraId="3A678B59">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2.5 合同包划分：</w:t>
      </w:r>
      <w:r>
        <w:rPr>
          <w:rFonts w:hint="eastAsia" w:ascii="Times New Roman" w:hAnsi="Times New Roman" w:eastAsia="宋体" w:cs="Times New Roman"/>
          <w:color w:val="auto"/>
          <w:szCs w:val="21"/>
          <w:highlight w:val="none"/>
          <w:u w:val="single"/>
          <w:lang w:val="en-US" w:eastAsia="zh-CN"/>
        </w:rPr>
        <w:t>2个</w:t>
      </w:r>
      <w:r>
        <w:rPr>
          <w:rFonts w:hint="default" w:ascii="Times New Roman" w:hAnsi="Times New Roman" w:eastAsia="宋体" w:cs="Times New Roman"/>
          <w:color w:val="auto"/>
          <w:szCs w:val="21"/>
          <w:highlight w:val="none"/>
          <w:u w:val="single"/>
          <w:lang w:val="en-US" w:eastAsia="zh-CN"/>
        </w:rPr>
        <w:t>采购包</w:t>
      </w:r>
      <w:r>
        <w:rPr>
          <w:rFonts w:hint="default" w:ascii="Times New Roman" w:hAnsi="Times New Roman" w:eastAsia="宋体" w:cs="Times New Roman"/>
          <w:color w:val="auto"/>
          <w:szCs w:val="21"/>
          <w:highlight w:val="none"/>
          <w:u w:val="none"/>
          <w:lang w:val="en-US" w:eastAsia="zh-CN"/>
        </w:rPr>
        <w:t>。</w:t>
      </w:r>
    </w:p>
    <w:p w14:paraId="5AE007C6">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cs="Times New Roman"/>
          <w:color w:val="auto"/>
          <w:szCs w:val="22"/>
          <w:highlight w:val="none"/>
          <w:u w:val="single"/>
          <w:lang w:val="en-US"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6</w:t>
      </w:r>
      <w:r>
        <w:rPr>
          <w:rFonts w:hint="default" w:ascii="Times New Roman" w:hAnsi="Times New Roman" w:eastAsia="宋体" w:cs="Times New Roman"/>
          <w:color w:val="auto"/>
          <w:szCs w:val="21"/>
          <w:highlight w:val="none"/>
        </w:rPr>
        <w:t xml:space="preserve"> 最高限价：</w:t>
      </w:r>
      <w:r>
        <w:rPr>
          <w:rFonts w:hint="eastAsia" w:ascii="Times New Roman" w:hAnsi="Times New Roman" w:eastAsia="宋体" w:cs="Times New Roman"/>
          <w:color w:val="auto"/>
          <w:szCs w:val="21"/>
          <w:highlight w:val="none"/>
          <w:u w:val="single"/>
          <w:lang w:val="en-US" w:eastAsia="zh-CN"/>
        </w:rPr>
        <w:t>01包</w:t>
      </w:r>
      <w:r>
        <w:rPr>
          <w:rFonts w:hint="eastAsia" w:ascii="Times New Roman" w:hAnsi="Times New Roman" w:cs="Times New Roman"/>
          <w:color w:val="auto"/>
          <w:szCs w:val="22"/>
          <w:highlight w:val="none"/>
          <w:u w:val="single"/>
          <w:lang w:val="en-US" w:eastAsia="zh-CN"/>
        </w:rPr>
        <w:t>人民币12.87万元，02包人民币45.4万元。</w:t>
      </w:r>
    </w:p>
    <w:p w14:paraId="075E5966">
      <w:pPr>
        <w:pageBreakBefore w:val="0"/>
        <w:kinsoku/>
        <w:wordWrap/>
        <w:overflowPunct/>
        <w:topLinePunct w:val="0"/>
        <w:autoSpaceDE/>
        <w:autoSpaceDN/>
        <w:bidi w:val="0"/>
        <w:adjustRightInd/>
        <w:snapToGrid w:val="0"/>
        <w:spacing w:line="460" w:lineRule="exact"/>
        <w:ind w:firstLine="420" w:firstLineChars="200"/>
        <w:textAlignment w:val="auto"/>
        <w:rPr>
          <w:rFonts w:hint="eastAsia"/>
          <w:lang w:val="en-US" w:eastAsia="zh-CN"/>
        </w:rPr>
      </w:pPr>
      <w:r>
        <w:rPr>
          <w:rFonts w:hint="eastAsia" w:ascii="宋体" w:hAnsi="宋体" w:eastAsia="宋体" w:cs="宋体"/>
          <w:b/>
          <w:bCs/>
          <w:szCs w:val="21"/>
          <w:highlight w:val="none"/>
          <w:lang w:val="en-US" w:eastAsia="zh-CN"/>
        </w:rPr>
        <w:t>注：本项目中不同的包段,供应商均可以参与。多包段的成交原则：允许多包段中标。</w:t>
      </w:r>
    </w:p>
    <w:p w14:paraId="54F94DDB">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color w:val="auto"/>
          <w:kern w:val="0"/>
          <w:sz w:val="21"/>
          <w:szCs w:val="21"/>
          <w:highlight w:val="red"/>
          <w:u w:val="none"/>
          <w:lang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7</w:t>
      </w:r>
      <w:r>
        <w:rPr>
          <w:rFonts w:hint="default" w:ascii="Times New Roman" w:hAnsi="Times New Roman" w:eastAsia="宋体" w:cs="Times New Roman"/>
          <w:color w:val="auto"/>
          <w:szCs w:val="21"/>
          <w:highlight w:val="none"/>
        </w:rPr>
        <w:t xml:space="preserve"> </w:t>
      </w:r>
      <w:r>
        <w:rPr>
          <w:rFonts w:hint="default" w:ascii="Times New Roman" w:hAnsi="Times New Roman" w:eastAsia="宋体" w:cs="Times New Roman"/>
          <w:color w:val="auto"/>
          <w:szCs w:val="21"/>
          <w:highlight w:val="none"/>
          <w:lang w:val="en-US" w:eastAsia="zh-CN"/>
        </w:rPr>
        <w:t>交货期</w:t>
      </w:r>
      <w:r>
        <w:rPr>
          <w:rFonts w:hint="default" w:ascii="Times New Roman" w:hAnsi="Times New Roman" w:eastAsia="宋体" w:cs="Times New Roman"/>
          <w:color w:val="auto"/>
          <w:szCs w:val="21"/>
          <w:highlight w:val="none"/>
        </w:rPr>
        <w:t>：</w:t>
      </w:r>
      <w:r>
        <w:rPr>
          <w:rFonts w:hint="eastAsia" w:ascii="宋体" w:hAnsi="宋体" w:eastAsia="宋体" w:cs="宋体"/>
          <w:color w:val="auto"/>
          <w:sz w:val="21"/>
          <w:szCs w:val="21"/>
          <w:highlight w:val="none"/>
          <w:u w:val="single"/>
          <w:lang w:val="en-US" w:eastAsia="zh-CN"/>
        </w:rPr>
        <w:t>在接到甲方下单通知后，7日内货到现场并调试安装</w:t>
      </w:r>
      <w:r>
        <w:rPr>
          <w:rFonts w:hint="eastAsia" w:ascii="Times New Roman" w:hAnsi="Times New Roman" w:eastAsia="宋体" w:cs="Times New Roman"/>
          <w:color w:val="auto"/>
          <w:szCs w:val="21"/>
          <w:highlight w:val="none"/>
          <w:u w:val="single"/>
          <w:lang w:val="en-US" w:eastAsia="zh-CN"/>
        </w:rPr>
        <w:t>（具体根据实际情况安排进度）。</w:t>
      </w:r>
    </w:p>
    <w:p w14:paraId="588E52DA">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2.8交货地点：</w:t>
      </w:r>
      <w:r>
        <w:rPr>
          <w:rFonts w:hint="eastAsia" w:ascii="Times New Roman" w:hAnsi="Times New Roman" w:eastAsia="宋体" w:cs="Times New Roman"/>
          <w:color w:val="auto"/>
          <w:szCs w:val="21"/>
          <w:highlight w:val="none"/>
          <w:u w:val="single"/>
          <w:lang w:val="en-US" w:eastAsia="zh-CN"/>
        </w:rPr>
        <w:t xml:space="preserve"> 01包</w:t>
      </w:r>
      <w:r>
        <w:rPr>
          <w:rFonts w:hint="eastAsia" w:ascii="Times New Roman" w:hAnsi="Times New Roman" w:eastAsia="宋体" w:cs="Times New Roman"/>
          <w:b w:val="0"/>
          <w:bCs w:val="0"/>
          <w:color w:val="auto"/>
          <w:szCs w:val="21"/>
          <w:highlight w:val="none"/>
          <w:u w:val="single"/>
          <w:lang w:val="en-US" w:eastAsia="zh-CN"/>
        </w:rPr>
        <w:t>东至县高速出口处（S27安东高速入口处），02包汪村收费站、凫峰收费站、凫峰服务区</w:t>
      </w:r>
      <w:r>
        <w:rPr>
          <w:rFonts w:hint="eastAsia" w:ascii="Times New Roman" w:hAnsi="Times New Roman" w:eastAsia="宋体" w:cs="Times New Roman"/>
          <w:color w:val="auto"/>
          <w:szCs w:val="21"/>
          <w:highlight w:val="none"/>
          <w:u w:val="single"/>
          <w:lang w:val="en-US" w:eastAsia="zh-CN"/>
        </w:rPr>
        <w:t>，</w:t>
      </w:r>
      <w:r>
        <w:rPr>
          <w:rFonts w:hint="eastAsia" w:ascii="宋体" w:hAnsi="宋体" w:eastAsia="宋体" w:cs="宋体"/>
          <w:color w:val="auto"/>
          <w:kern w:val="0"/>
          <w:sz w:val="21"/>
          <w:szCs w:val="21"/>
          <w:highlight w:val="none"/>
          <w:u w:val="single"/>
          <w:lang w:val="en-US" w:eastAsia="zh-CN"/>
        </w:rPr>
        <w:t xml:space="preserve">具体详细交货地点根据实际情况安排 </w:t>
      </w:r>
      <w:r>
        <w:rPr>
          <w:rFonts w:hint="eastAsia" w:ascii="Times New Roman" w:hAnsi="Times New Roman" w:eastAsia="宋体" w:cs="Times New Roman"/>
          <w:color w:val="auto"/>
          <w:szCs w:val="21"/>
          <w:highlight w:val="none"/>
          <w:u w:val="none"/>
          <w:lang w:val="en-US" w:eastAsia="zh-CN"/>
        </w:rPr>
        <w:t>。</w:t>
      </w:r>
    </w:p>
    <w:p w14:paraId="61C364AD">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rPr>
      </w:pPr>
      <w:r>
        <w:rPr>
          <w:rFonts w:ascii="Times New Roman" w:hAnsi="Times New Roman" w:eastAsia="黑体" w:cs="Times New Roman"/>
          <w:bCs/>
          <w:color w:val="auto"/>
          <w:sz w:val="22"/>
          <w:szCs w:val="15"/>
        </w:rPr>
        <w:t>供应商资格条件</w:t>
      </w:r>
      <w:bookmarkEnd w:id="16"/>
      <w:bookmarkEnd w:id="17"/>
      <w:bookmarkEnd w:id="18"/>
      <w:bookmarkEnd w:id="19"/>
      <w:bookmarkEnd w:id="20"/>
      <w:bookmarkEnd w:id="21"/>
      <w:bookmarkEnd w:id="22"/>
      <w:r>
        <w:rPr>
          <w:rFonts w:hint="eastAsia" w:ascii="Times New Roman" w:hAnsi="Times New Roman" w:eastAsia="黑体" w:cs="Times New Roman"/>
          <w:bCs/>
          <w:color w:val="auto"/>
          <w:sz w:val="22"/>
          <w:szCs w:val="15"/>
        </w:rPr>
        <w:t xml:space="preserve"> </w:t>
      </w:r>
      <w:r>
        <w:rPr>
          <w:rFonts w:hint="eastAsia" w:ascii="Times New Roman" w:hAnsi="Times New Roman" w:eastAsia="黑体" w:cs="Times New Roman"/>
          <w:bCs/>
          <w:color w:val="auto"/>
          <w:sz w:val="22"/>
          <w:szCs w:val="15"/>
          <w:lang w:eastAsia="zh-CN"/>
        </w:rPr>
        <w:t>（</w:t>
      </w:r>
      <w:r>
        <w:rPr>
          <w:rFonts w:hint="eastAsia" w:ascii="Times New Roman" w:hAnsi="Times New Roman" w:eastAsia="黑体" w:cs="Times New Roman"/>
          <w:bCs/>
          <w:color w:val="auto"/>
          <w:sz w:val="22"/>
          <w:szCs w:val="15"/>
          <w:lang w:val="en-US" w:eastAsia="zh-CN"/>
        </w:rPr>
        <w:t>两包通用</w:t>
      </w:r>
      <w:r>
        <w:rPr>
          <w:rFonts w:hint="eastAsia" w:ascii="Times New Roman" w:hAnsi="Times New Roman" w:eastAsia="黑体" w:cs="Times New Roman"/>
          <w:bCs/>
          <w:color w:val="auto"/>
          <w:sz w:val="22"/>
          <w:szCs w:val="15"/>
          <w:lang w:eastAsia="zh-CN"/>
        </w:rPr>
        <w:t>）</w:t>
      </w:r>
    </w:p>
    <w:p w14:paraId="1FFA3750">
      <w:pPr>
        <w:snapToGrid w:val="0"/>
        <w:spacing w:line="440" w:lineRule="exact"/>
        <w:ind w:firstLine="420" w:firstLineChars="200"/>
        <w:rPr>
          <w:rFonts w:hint="eastAsia" w:ascii="宋体" w:hAnsi="宋体" w:eastAsia="宋体" w:cs="宋体"/>
          <w:color w:val="auto"/>
          <w:szCs w:val="22"/>
        </w:rPr>
      </w:pPr>
      <w:bookmarkStart w:id="25" w:name="_Toc25666_WPSOffice_Level2"/>
      <w:bookmarkStart w:id="26" w:name="_Toc525632588"/>
      <w:bookmarkStart w:id="27" w:name="_Toc29452_WPSOffice_Level2"/>
      <w:bookmarkStart w:id="28" w:name="_Toc4751"/>
      <w:bookmarkStart w:id="29" w:name="_Toc1994"/>
      <w:bookmarkStart w:id="30" w:name="_Toc2996_WPSOffice_Level2"/>
      <w:bookmarkStart w:id="31" w:name="_Toc4109_WPSOffice_Level2"/>
      <w:r>
        <w:rPr>
          <w:rFonts w:hint="eastAsia" w:ascii="宋体" w:hAnsi="宋体" w:eastAsia="宋体" w:cs="宋体"/>
          <w:color w:val="auto"/>
          <w:szCs w:val="22"/>
        </w:rPr>
        <w:t>3.1 本次采购要求供应商须同时具备：</w:t>
      </w:r>
    </w:p>
    <w:p w14:paraId="7ED83F0D">
      <w:pPr>
        <w:snapToGrid w:val="0"/>
        <w:spacing w:line="440" w:lineRule="exact"/>
        <w:ind w:firstLine="420" w:firstLineChars="200"/>
        <w:rPr>
          <w:rFonts w:hint="eastAsia" w:ascii="宋体" w:hAnsi="宋体" w:cs="宋体"/>
          <w:color w:val="auto"/>
          <w:sz w:val="21"/>
          <w:szCs w:val="22"/>
          <w:highlight w:val="none"/>
        </w:rPr>
      </w:pPr>
      <w:r>
        <w:rPr>
          <w:rFonts w:hint="eastAsia" w:ascii="Times New Roman" w:hAnsi="Times New Roman" w:cs="Times New Roman"/>
          <w:color w:val="auto"/>
          <w:szCs w:val="22"/>
          <w:highlight w:val="none"/>
        </w:rPr>
        <w:t>（1）资质最低要求：</w:t>
      </w:r>
      <w:bookmarkStart w:id="169" w:name="_GoBack"/>
      <w:bookmarkEnd w:id="169"/>
    </w:p>
    <w:p w14:paraId="5ED94A0C">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lang w:val="en-US" w:eastAsia="zh-CN"/>
        </w:rPr>
      </w:pPr>
      <w:r>
        <w:rPr>
          <w:rFonts w:hint="eastAsia" w:ascii="宋体" w:hAnsi="宋体" w:cs="宋体"/>
          <w:color w:val="auto"/>
          <w:sz w:val="21"/>
          <w:szCs w:val="22"/>
          <w:highlight w:val="none"/>
          <w:lang w:val="en-US" w:eastAsia="zh-CN"/>
        </w:rPr>
        <w:t xml:space="preserve">①具备独立法人资格，持有有效的营业执照。  </w:t>
      </w:r>
    </w:p>
    <w:p w14:paraId="28E28F31">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lang w:val="en-US" w:eastAsia="zh-CN"/>
        </w:rPr>
      </w:pPr>
      <w:r>
        <w:rPr>
          <w:rFonts w:hint="eastAsia" w:ascii="宋体" w:hAnsi="宋体" w:cs="宋体"/>
          <w:color w:val="auto"/>
          <w:sz w:val="21"/>
          <w:szCs w:val="22"/>
          <w:highlight w:val="none"/>
          <w:lang w:val="en-US" w:eastAsia="zh-CN"/>
        </w:rPr>
        <w:t>②制造商/厂家参与询比的，应具备有生产、销售采购人所需材料的能力；经销商/代理商参加询比的，应具备销售采购人所需材料的能力（提供所投产品业绩进行证明）。</w:t>
      </w:r>
    </w:p>
    <w:p w14:paraId="27A3BCDA">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rPr>
      </w:pPr>
      <w:r>
        <w:rPr>
          <w:rFonts w:hint="eastAsia" w:ascii="Times New Roman" w:hAnsi="Times New Roman"/>
          <w:color w:val="auto"/>
          <w:sz w:val="21"/>
          <w:szCs w:val="22"/>
        </w:rPr>
        <w:t>（</w:t>
      </w:r>
      <w:r>
        <w:rPr>
          <w:rFonts w:hint="eastAsia" w:ascii="Times New Roman" w:hAnsi="Times New Roman" w:cs="Times New Roman" w:eastAsiaTheme="minorEastAsia"/>
          <w:color w:val="auto"/>
          <w:szCs w:val="22"/>
          <w:lang w:val="en-US" w:eastAsia="zh-CN"/>
        </w:rPr>
        <w:t>2</w:t>
      </w:r>
      <w:r>
        <w:rPr>
          <w:rFonts w:hint="eastAsia" w:ascii="Times New Roman" w:hAnsi="Times New Roman" w:cs="Times New Roman" w:eastAsiaTheme="minorEastAsia"/>
          <w:color w:val="auto"/>
          <w:szCs w:val="22"/>
        </w:rPr>
        <w:t>）</w:t>
      </w:r>
      <w:r>
        <w:rPr>
          <w:rFonts w:hint="default" w:ascii="Times New Roman" w:hAnsi="Times New Roman" w:cs="Times New Roman" w:eastAsiaTheme="minorEastAsia"/>
          <w:color w:val="auto"/>
          <w:szCs w:val="22"/>
        </w:rPr>
        <w:t>业绩最低要求：</w:t>
      </w:r>
    </w:p>
    <w:p w14:paraId="5CB60286">
      <w:pPr>
        <w:pStyle w:val="2"/>
        <w:keepNext w:val="0"/>
        <w:keepLines w:val="0"/>
        <w:pageBreakBefore w:val="0"/>
        <w:widowControl w:val="0"/>
        <w:kinsoku/>
        <w:wordWrap/>
        <w:overflowPunct/>
        <w:topLinePunct w:val="0"/>
        <w:autoSpaceDE/>
        <w:autoSpaceDN/>
        <w:bidi w:val="0"/>
        <w:adjustRightInd/>
        <w:snapToGrid w:val="0"/>
        <w:spacing w:after="0" w:line="440" w:lineRule="exact"/>
        <w:ind w:left="0" w:firstLine="420" w:firstLineChars="200"/>
        <w:jc w:val="both"/>
        <w:textAlignment w:val="auto"/>
        <w:rPr>
          <w:rFonts w:hint="default" w:ascii="Times New Roman" w:hAnsi="Times New Roman" w:cs="Times New Roman" w:eastAsiaTheme="minorEastAsia"/>
          <w:b w:val="0"/>
          <w:bCs w:val="0"/>
          <w:color w:val="auto"/>
          <w:highlight w:val="none"/>
          <w:u w:val="single"/>
          <w:lang w:val="en-US" w:eastAsia="zh-CN"/>
        </w:rPr>
      </w:pPr>
      <w:r>
        <w:rPr>
          <w:rFonts w:hint="default" w:ascii="Times New Roman" w:hAnsi="Times New Roman" w:cs="Times New Roman" w:eastAsiaTheme="minorEastAsia"/>
          <w:b w:val="0"/>
          <w:bCs w:val="0"/>
          <w:color w:val="auto"/>
          <w:highlight w:val="none"/>
          <w:u w:val="single"/>
          <w:lang w:val="en-US" w:eastAsia="zh-CN"/>
        </w:rPr>
        <w:t>至少提供1个自</w:t>
      </w:r>
      <w:r>
        <w:rPr>
          <w:rFonts w:hint="eastAsia" w:ascii="Times New Roman" w:hAnsi="Times New Roman" w:cs="Times New Roman"/>
          <w:b w:val="0"/>
          <w:bCs w:val="0"/>
          <w:color w:val="auto"/>
          <w:highlight w:val="none"/>
          <w:u w:val="single"/>
          <w:lang w:val="en-US" w:eastAsia="zh-CN"/>
        </w:rPr>
        <w:t>2022</w:t>
      </w:r>
      <w:r>
        <w:rPr>
          <w:rFonts w:hint="default" w:ascii="Times New Roman" w:hAnsi="Times New Roman" w:cs="Times New Roman" w:eastAsiaTheme="minorEastAsia"/>
          <w:b w:val="0"/>
          <w:bCs w:val="0"/>
          <w:color w:val="auto"/>
          <w:highlight w:val="none"/>
          <w:u w:val="single"/>
          <w:lang w:val="en-US" w:eastAsia="zh-CN"/>
        </w:rPr>
        <w:t>年</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月</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日以来，单项合同额不低于</w:t>
      </w:r>
      <w:r>
        <w:rPr>
          <w:rFonts w:hint="eastAsia" w:ascii="Times New Roman" w:hAnsi="Times New Roman" w:cs="Times New Roman"/>
          <w:b w:val="0"/>
          <w:bCs w:val="0"/>
          <w:color w:val="auto"/>
          <w:highlight w:val="none"/>
          <w:u w:val="single"/>
          <w:lang w:val="en-US" w:eastAsia="zh-CN"/>
        </w:rPr>
        <w:t>15</w:t>
      </w:r>
      <w:r>
        <w:rPr>
          <w:rFonts w:hint="default" w:ascii="Times New Roman" w:hAnsi="Times New Roman" w:cs="Times New Roman" w:eastAsiaTheme="minorEastAsia"/>
          <w:b w:val="0"/>
          <w:bCs w:val="0"/>
          <w:color w:val="auto"/>
          <w:highlight w:val="none"/>
          <w:u w:val="single"/>
          <w:lang w:val="en-US" w:eastAsia="zh-CN"/>
        </w:rPr>
        <w:t>万元的</w:t>
      </w:r>
      <w:r>
        <w:rPr>
          <w:rFonts w:hint="eastAsia" w:ascii="Times New Roman" w:hAnsi="Times New Roman" w:cs="Times New Roman"/>
          <w:b w:val="0"/>
          <w:bCs w:val="0"/>
          <w:color w:val="auto"/>
          <w:highlight w:val="none"/>
          <w:u w:val="single"/>
          <w:lang w:val="en-US" w:eastAsia="zh-CN"/>
        </w:rPr>
        <w:t>电器类</w:t>
      </w:r>
      <w:r>
        <w:rPr>
          <w:rFonts w:hint="default" w:ascii="Times New Roman" w:hAnsi="Times New Roman" w:cs="Times New Roman" w:eastAsiaTheme="minorEastAsia"/>
          <w:b w:val="0"/>
          <w:bCs w:val="0"/>
          <w:color w:val="auto"/>
          <w:szCs w:val="21"/>
          <w:highlight w:val="none"/>
          <w:u w:val="single"/>
          <w:lang w:val="en-US" w:eastAsia="zh-CN"/>
        </w:rPr>
        <w:t>合同业绩</w:t>
      </w:r>
      <w:r>
        <w:rPr>
          <w:rFonts w:hint="eastAsia" w:ascii="Times New Roman" w:hAnsi="Times New Roman" w:cs="Times New Roman"/>
          <w:b w:val="0"/>
          <w:bCs w:val="0"/>
          <w:color w:val="auto"/>
          <w:szCs w:val="21"/>
          <w:highlight w:val="none"/>
          <w:u w:val="single"/>
          <w:lang w:val="en-US" w:eastAsia="zh-CN"/>
        </w:rPr>
        <w:t>，每个业绩至少提供不低于合同金额50%的增值税发票（或提供不低于资格审查要求业绩金额的增值税发票），未提供或提供发票金额不足的，该业绩无效。</w:t>
      </w:r>
    </w:p>
    <w:p w14:paraId="7FBD7FF1">
      <w:pPr>
        <w:numPr>
          <w:ilvl w:val="255"/>
          <w:numId w:val="0"/>
        </w:numPr>
        <w:snapToGrid w:val="0"/>
        <w:spacing w:line="440" w:lineRule="exact"/>
        <w:ind w:firstLine="420" w:firstLineChars="200"/>
        <w:rPr>
          <w:color w:val="auto"/>
        </w:rPr>
      </w:pPr>
      <w:r>
        <w:rPr>
          <w:rFonts w:hint="eastAsia"/>
          <w:color w:val="auto"/>
        </w:rPr>
        <w:t>业绩证明材料要求：</w:t>
      </w:r>
    </w:p>
    <w:p w14:paraId="2B7648B6">
      <w:pPr>
        <w:pStyle w:val="2"/>
        <w:spacing w:after="0" w:line="440" w:lineRule="exact"/>
        <w:ind w:firstLine="420" w:firstLineChars="200"/>
        <w:rPr>
          <w:color w:val="auto"/>
        </w:rPr>
      </w:pPr>
      <w:r>
        <w:rPr>
          <w:rFonts w:hint="eastAsia"/>
          <w:color w:val="auto"/>
        </w:rPr>
        <w:t xml:space="preserve">①合同协议书扫描件；                                                                                                                                                                                                                                                                                                                                                                                                                                                                                                                                                                                                                                                                                                                                                                                                                                                                                                                                                                                                                                                                                                                                                                                                                                                                                                                                                                                                                                                                                                                                                                                                                                                                                                                                                                                                                                                                                                                                                                                                                                                                                                                                                                          </w:t>
      </w:r>
    </w:p>
    <w:p w14:paraId="73D02590">
      <w:pPr>
        <w:pStyle w:val="2"/>
        <w:spacing w:after="0" w:line="440" w:lineRule="exact"/>
        <w:ind w:firstLine="420" w:firstLineChars="200"/>
        <w:rPr>
          <w:color w:val="auto"/>
        </w:rPr>
      </w:pPr>
      <w:r>
        <w:rPr>
          <w:rFonts w:hint="eastAsia"/>
          <w:color w:val="auto"/>
        </w:rPr>
        <w:t>②若合同协议书中不能明确反映出采购文件所要求内容的（如合同金额、合同签订时间、供货内容等），则须提供业主单位（甲方）出具加盖公章的证明材料复印件。</w:t>
      </w:r>
    </w:p>
    <w:p w14:paraId="133DEF0A">
      <w:pPr>
        <w:snapToGrid w:val="0"/>
        <w:spacing w:line="440" w:lineRule="exact"/>
        <w:ind w:firstLine="420" w:firstLineChars="200"/>
        <w:rPr>
          <w:rFonts w:ascii="Times New Roman" w:hAnsi="Times New Roman" w:cs="Times New Roman"/>
          <w:color w:val="auto"/>
          <w:szCs w:val="22"/>
        </w:rPr>
      </w:pPr>
      <w:r>
        <w:rPr>
          <w:rFonts w:hint="eastAsia"/>
          <w:color w:val="auto"/>
        </w:rPr>
        <w:t>③若同一业绩合同中包含多项材料（设备），则合同中应能体现资格要求中所需材料（设备）的内容和金额，无法体现的，须提供供货单据、供货发票、业主验收单等能证明</w:t>
      </w:r>
      <w:r>
        <w:rPr>
          <w:rFonts w:hint="eastAsia" w:ascii="Times New Roman" w:hAnsi="Times New Roman" w:cs="Times New Roman"/>
          <w:color w:val="auto"/>
          <w:szCs w:val="22"/>
        </w:rPr>
        <w:t>相关评审因素的证明材料，否则业绩不予认可。</w:t>
      </w:r>
    </w:p>
    <w:p w14:paraId="2C4C8A55">
      <w:pPr>
        <w:snapToGrid w:val="0"/>
        <w:spacing w:line="440" w:lineRule="exact"/>
        <w:ind w:firstLine="420" w:firstLineChars="200"/>
        <w:rPr>
          <w:rFonts w:ascii="Times New Roman" w:hAnsi="Times New Roman" w:cs="Times New Roman"/>
          <w:color w:val="auto"/>
          <w:szCs w:val="22"/>
          <w:highlight w:val="yellow"/>
        </w:rPr>
      </w:pPr>
      <w:r>
        <w:rPr>
          <w:rFonts w:hint="eastAsia" w:ascii="Times New Roman" w:hAnsi="Times New Roman" w:cs="Times New Roman"/>
          <w:color w:val="auto"/>
          <w:szCs w:val="22"/>
          <w:highlight w:val="yellow"/>
        </w:rPr>
        <w:t>（3）信誉要求最低要求：</w:t>
      </w:r>
    </w:p>
    <w:p w14:paraId="0F639CB3">
      <w:pPr>
        <w:snapToGrid w:val="0"/>
        <w:spacing w:line="440" w:lineRule="exact"/>
        <w:ind w:firstLine="420" w:firstLineChars="200"/>
        <w:rPr>
          <w:rFonts w:ascii="Times New Roman" w:hAnsi="Times New Roman" w:cs="Times New Roman"/>
          <w:color w:val="auto"/>
          <w:szCs w:val="22"/>
        </w:rPr>
      </w:pPr>
      <w:r>
        <w:rPr>
          <w:rFonts w:ascii="Times New Roman" w:hAnsi="Times New Roman" w:cs="Times New Roman"/>
          <w:color w:val="auto"/>
          <w:szCs w:val="22"/>
        </w:rPr>
        <w:t>①</w:t>
      </w:r>
      <w:r>
        <w:rPr>
          <w:rFonts w:hint="eastAsia" w:ascii="Times New Roman" w:hAnsi="Times New Roman" w:cs="Times New Roman"/>
          <w:color w:val="auto"/>
          <w:szCs w:val="22"/>
        </w:rPr>
        <w:t>未被责令停业，暂扣或吊销执照，或吊销资质证书；</w:t>
      </w:r>
    </w:p>
    <w:p w14:paraId="7B7F2CE1">
      <w:pPr>
        <w:snapToGrid w:val="0"/>
        <w:spacing w:line="440" w:lineRule="exact"/>
        <w:ind w:firstLine="420" w:firstLineChars="200"/>
        <w:rPr>
          <w:color w:val="auto"/>
        </w:rPr>
      </w:pPr>
      <w:r>
        <w:rPr>
          <w:rFonts w:hint="eastAsia" w:ascii="Times New Roman" w:hAnsi="Times New Roman" w:cs="Times New Roman"/>
          <w:color w:val="auto"/>
          <w:szCs w:val="22"/>
        </w:rPr>
        <w:t>②未进入清算程序，或被宣告破产，或其他丧失履约能力的情形；</w:t>
      </w:r>
    </w:p>
    <w:p w14:paraId="58E9BA3C">
      <w:pPr>
        <w:snapToGrid w:val="0"/>
        <w:spacing w:line="440" w:lineRule="exact"/>
        <w:ind w:firstLine="420" w:firstLineChars="200"/>
        <w:rPr>
          <w:rFonts w:ascii="Times New Roman" w:hAnsi="Times New Roman" w:cs="Times New Roman"/>
          <w:color w:val="auto"/>
          <w:szCs w:val="22"/>
        </w:rPr>
      </w:pPr>
      <w:r>
        <w:rPr>
          <w:rFonts w:hint="eastAsia" w:ascii="Times New Roman" w:hAnsi="Times New Roman" w:cs="Times New Roman"/>
          <w:color w:val="auto"/>
          <w:szCs w:val="22"/>
        </w:rPr>
        <w:t>③</w:t>
      </w:r>
      <w:r>
        <w:rPr>
          <w:rFonts w:ascii="Times New Roman" w:hAnsi="Times New Roman" w:cs="Times New Roman"/>
          <w:color w:val="auto"/>
          <w:szCs w:val="22"/>
        </w:rPr>
        <w:t>在国家企业信用信息公示系统（www.gsxt.gov.cn）中</w:t>
      </w:r>
      <w:r>
        <w:rPr>
          <w:rFonts w:hint="eastAsia" w:ascii="Times New Roman" w:hAnsi="Times New Roman" w:cs="Times New Roman"/>
          <w:color w:val="auto"/>
          <w:szCs w:val="22"/>
        </w:rPr>
        <w:t>未</w:t>
      </w:r>
      <w:r>
        <w:rPr>
          <w:rFonts w:ascii="Times New Roman" w:hAnsi="Times New Roman" w:cs="Times New Roman"/>
          <w:color w:val="auto"/>
          <w:szCs w:val="22"/>
        </w:rPr>
        <w:t>被列入严重违法失信企业名单；</w:t>
      </w:r>
    </w:p>
    <w:p w14:paraId="199A6B70">
      <w:pPr>
        <w:snapToGrid w:val="0"/>
        <w:spacing w:line="440" w:lineRule="exact"/>
        <w:ind w:firstLine="420" w:firstLineChars="200"/>
        <w:rPr>
          <w:rFonts w:ascii="Times New Roman" w:hAnsi="Times New Roman" w:cs="Times New Roman"/>
          <w:color w:val="auto"/>
          <w:szCs w:val="22"/>
        </w:rPr>
      </w:pPr>
      <w:r>
        <w:rPr>
          <w:rFonts w:hint="eastAsia" w:ascii="Times New Roman" w:hAnsi="Times New Roman" w:cs="Times New Roman"/>
          <w:color w:val="auto"/>
          <w:szCs w:val="22"/>
        </w:rPr>
        <w:t>④</w:t>
      </w:r>
      <w:r>
        <w:rPr>
          <w:rFonts w:ascii="Times New Roman" w:hAnsi="Times New Roman" w:cs="Times New Roman"/>
          <w:color w:val="auto"/>
          <w:szCs w:val="22"/>
        </w:rPr>
        <w:t>在“信用中国”网站（www.creditchina.gov.cn）中</w:t>
      </w:r>
      <w:r>
        <w:rPr>
          <w:rFonts w:hint="eastAsia" w:ascii="Times New Roman" w:hAnsi="Times New Roman" w:cs="Times New Roman"/>
          <w:color w:val="auto"/>
          <w:szCs w:val="22"/>
        </w:rPr>
        <w:t>未</w:t>
      </w:r>
      <w:r>
        <w:rPr>
          <w:rFonts w:ascii="Times New Roman" w:hAnsi="Times New Roman" w:cs="Times New Roman"/>
          <w:color w:val="auto"/>
          <w:szCs w:val="22"/>
        </w:rPr>
        <w:t>被列入失信被执行人名单；</w:t>
      </w:r>
    </w:p>
    <w:p w14:paraId="541860C8">
      <w:pPr>
        <w:snapToGrid w:val="0"/>
        <w:spacing w:line="440" w:lineRule="exact"/>
        <w:ind w:firstLine="420" w:firstLineChars="200"/>
        <w:rPr>
          <w:rFonts w:ascii="Times New Roman" w:hAnsi="Times New Roman" w:cs="Times New Roman"/>
          <w:color w:val="auto"/>
          <w:szCs w:val="22"/>
        </w:rPr>
      </w:pPr>
      <w:r>
        <w:rPr>
          <w:rFonts w:hint="eastAsia" w:ascii="Times New Roman" w:hAnsi="Times New Roman" w:cs="Times New Roman"/>
          <w:color w:val="auto"/>
          <w:szCs w:val="22"/>
        </w:rPr>
        <w:t>⑤</w:t>
      </w:r>
      <w:r>
        <w:rPr>
          <w:rFonts w:ascii="Times New Roman" w:hAnsi="Times New Roman" w:cs="Times New Roman"/>
          <w:color w:val="auto"/>
          <w:szCs w:val="22"/>
        </w:rPr>
        <w:t>在近三年内（自</w:t>
      </w:r>
      <w:r>
        <w:rPr>
          <w:rFonts w:hint="eastAsia" w:ascii="Times New Roman" w:hAnsi="Times New Roman" w:cs="Times New Roman"/>
          <w:color w:val="auto"/>
          <w:szCs w:val="22"/>
        </w:rPr>
        <w:t>响应文件递交截止之日</w:t>
      </w:r>
      <w:r>
        <w:rPr>
          <w:rFonts w:ascii="Times New Roman" w:hAnsi="Times New Roman" w:cs="Times New Roman"/>
          <w:color w:val="auto"/>
          <w:szCs w:val="22"/>
        </w:rPr>
        <w:t>向前追溯3年）供应商或其法定代表人、拟委任的项目经理</w:t>
      </w:r>
      <w:r>
        <w:rPr>
          <w:rFonts w:hint="eastAsia" w:ascii="Times New Roman" w:hAnsi="Times New Roman" w:cs="Times New Roman"/>
          <w:color w:val="auto"/>
          <w:szCs w:val="22"/>
        </w:rPr>
        <w:t>（如有）未</w:t>
      </w:r>
      <w:r>
        <w:rPr>
          <w:rFonts w:ascii="Times New Roman" w:hAnsi="Times New Roman" w:cs="Times New Roman"/>
          <w:color w:val="auto"/>
          <w:szCs w:val="22"/>
        </w:rPr>
        <w:t>有行贿犯罪行为。</w:t>
      </w:r>
    </w:p>
    <w:p w14:paraId="4645C23B">
      <w:pPr>
        <w:snapToGrid w:val="0"/>
        <w:spacing w:line="440" w:lineRule="exact"/>
        <w:ind w:firstLine="420" w:firstLineChars="200"/>
        <w:rPr>
          <w:rFonts w:ascii="Times New Roman" w:hAnsi="Times New Roman"/>
          <w:color w:val="auto"/>
        </w:rPr>
      </w:pPr>
      <w:r>
        <w:rPr>
          <w:rFonts w:hint="eastAsia" w:ascii="Times New Roman" w:hAnsi="Times New Roman"/>
          <w:color w:val="auto"/>
        </w:rPr>
        <w:t>⑥其他要求：</w:t>
      </w:r>
      <w:r>
        <w:rPr>
          <w:rFonts w:hint="eastAsia" w:ascii="Times New Roman" w:hAnsi="Times New Roman"/>
          <w:color w:val="auto"/>
          <w:u w:val="single"/>
        </w:rPr>
        <w:t xml:space="preserve">        /        </w:t>
      </w:r>
      <w:r>
        <w:rPr>
          <w:rFonts w:hint="eastAsia" w:ascii="Times New Roman" w:hAnsi="Times New Roman"/>
          <w:color w:val="auto"/>
        </w:rPr>
        <w:t>。</w:t>
      </w:r>
    </w:p>
    <w:p w14:paraId="7D3928A6">
      <w:pPr>
        <w:snapToGrid w:val="0"/>
        <w:spacing w:line="440" w:lineRule="exact"/>
        <w:ind w:firstLine="420" w:firstLineChars="200"/>
        <w:rPr>
          <w:rFonts w:ascii="Times New Roman" w:hAnsi="Times New Roman" w:cs="Times New Roman"/>
          <w:color w:val="auto"/>
          <w:sz w:val="18"/>
          <w:szCs w:val="21"/>
        </w:rPr>
      </w:pPr>
      <w:r>
        <w:rPr>
          <w:rFonts w:ascii="Times New Roman" w:hAnsi="Times New Roman" w:cs="Times New Roman"/>
          <w:color w:val="auto"/>
          <w:szCs w:val="22"/>
        </w:rPr>
        <w:t>3.2 联合体：本次采购</w:t>
      </w:r>
      <w:r>
        <w:rPr>
          <w:rFonts w:hint="eastAsia" w:ascii="Times New Roman" w:hAnsi="Times New Roman" w:cs="Times New Roman"/>
          <w:color w:val="auto"/>
          <w:szCs w:val="22"/>
        </w:rPr>
        <w:t>不接受</w:t>
      </w:r>
      <w:r>
        <w:rPr>
          <w:rFonts w:ascii="Times New Roman" w:hAnsi="Times New Roman" w:cs="Times New Roman"/>
          <w:color w:val="auto"/>
          <w:szCs w:val="22"/>
        </w:rPr>
        <w:t>联合体报价。</w:t>
      </w:r>
    </w:p>
    <w:p w14:paraId="14D952A2">
      <w:pPr>
        <w:snapToGrid w:val="0"/>
        <w:spacing w:line="440" w:lineRule="exact"/>
        <w:ind w:firstLine="420" w:firstLineChars="200"/>
        <w:rPr>
          <w:rFonts w:ascii="Times New Roman" w:hAnsi="Times New Roman" w:cs="Times New Roman"/>
          <w:color w:val="auto"/>
          <w:sz w:val="18"/>
          <w:szCs w:val="21"/>
        </w:rPr>
      </w:pPr>
      <w:r>
        <w:rPr>
          <w:rFonts w:ascii="Times New Roman" w:hAnsi="Times New Roman" w:cs="Times New Roman"/>
          <w:color w:val="auto"/>
          <w:szCs w:val="22"/>
        </w:rPr>
        <w:t>3.3 单位负责人为同一人或者存在控股、管理关系的不同单位，不得同时参加同一合同包报价，否则相关响应文件均无效。</w:t>
      </w:r>
    </w:p>
    <w:p w14:paraId="7043BABC">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rPr>
      </w:pPr>
      <w:r>
        <w:rPr>
          <w:rFonts w:hint="eastAsia" w:ascii="Times New Roman" w:hAnsi="Times New Roman" w:eastAsia="黑体" w:cs="Times New Roman"/>
          <w:bCs/>
          <w:color w:val="auto"/>
          <w:sz w:val="22"/>
          <w:szCs w:val="15"/>
        </w:rPr>
        <w:t>询比文件</w:t>
      </w:r>
      <w:r>
        <w:rPr>
          <w:rFonts w:ascii="Times New Roman" w:hAnsi="Times New Roman" w:eastAsia="黑体" w:cs="Times New Roman"/>
          <w:bCs/>
          <w:color w:val="auto"/>
          <w:sz w:val="22"/>
          <w:szCs w:val="15"/>
        </w:rPr>
        <w:t>的获取</w:t>
      </w:r>
      <w:bookmarkEnd w:id="25"/>
      <w:bookmarkEnd w:id="26"/>
      <w:bookmarkEnd w:id="27"/>
      <w:bookmarkEnd w:id="28"/>
      <w:bookmarkEnd w:id="29"/>
      <w:bookmarkEnd w:id="30"/>
      <w:bookmarkEnd w:id="31"/>
    </w:p>
    <w:p w14:paraId="0F5871EC">
      <w:pPr>
        <w:snapToGrid w:val="0"/>
        <w:spacing w:line="440" w:lineRule="exact"/>
        <w:ind w:firstLine="420" w:firstLineChars="200"/>
        <w:rPr>
          <w:rFonts w:ascii="Times New Roman" w:hAnsi="Times New Roman" w:cs="Times New Roman"/>
          <w:color w:val="auto"/>
          <w:szCs w:val="22"/>
        </w:rPr>
      </w:pPr>
      <w:bookmarkStart w:id="32" w:name="_Toc525632589"/>
      <w:bookmarkStart w:id="33" w:name="_Toc726"/>
      <w:r>
        <w:rPr>
          <w:rFonts w:hint="eastAsia" w:ascii="Times New Roman" w:hAnsi="Times New Roman" w:cs="Times New Roman"/>
          <w:color w:val="auto"/>
          <w:szCs w:val="22"/>
        </w:rPr>
        <w:t>供应商须在“</w:t>
      </w:r>
      <w:r>
        <w:rPr>
          <w:rFonts w:hint="eastAsia" w:ascii="Times New Roman" w:hAnsi="Times New Roman" w:cs="Times New Roman"/>
          <w:color w:val="auto"/>
          <w:szCs w:val="22"/>
          <w:lang w:eastAsia="zh-CN"/>
        </w:rPr>
        <w:t>安徽交控建设工程集团有限公司</w:t>
      </w:r>
      <w:r>
        <w:rPr>
          <w:rFonts w:hint="eastAsia" w:ascii="Times New Roman" w:hAnsi="Times New Roman" w:cs="Times New Roman"/>
          <w:color w:val="auto"/>
          <w:szCs w:val="22"/>
        </w:rPr>
        <w:t>”（网址：www.ahjggroup.com）“招标公告”栏目了解项目信息、下载询价文件及其他资料（含澄清、答疑及相关补充文件）。咨询电话：0551-62265211、13866130523。采购人不再另行书面通知，供应商应及时关注、查阅。因未及时查看导致不利后果的，责任自负。</w:t>
      </w:r>
    </w:p>
    <w:p w14:paraId="7E72C4F8">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highlight w:val="none"/>
        </w:rPr>
      </w:pPr>
      <w:r>
        <w:rPr>
          <w:rFonts w:hint="eastAsia" w:ascii="Times New Roman" w:hAnsi="Times New Roman" w:eastAsia="黑体" w:cs="Times New Roman"/>
          <w:bCs/>
          <w:color w:val="auto"/>
          <w:sz w:val="22"/>
          <w:szCs w:val="15"/>
          <w:highlight w:val="none"/>
        </w:rPr>
        <w:t>响应文件的递交</w:t>
      </w:r>
      <w:bookmarkEnd w:id="32"/>
      <w:bookmarkEnd w:id="33"/>
    </w:p>
    <w:p w14:paraId="13FB571B">
      <w:pPr>
        <w:widowControl/>
        <w:spacing w:line="400" w:lineRule="exact"/>
        <w:ind w:firstLine="420" w:firstLineChars="200"/>
        <w:rPr>
          <w:rFonts w:ascii="Times New Roman" w:hAnsi="Times New Roman" w:eastAsia="宋体" w:cs="Times New Roman"/>
          <w:color w:val="auto"/>
          <w:szCs w:val="22"/>
        </w:rPr>
      </w:pPr>
      <w:bookmarkStart w:id="34" w:name="_Toc525632591"/>
      <w:bookmarkStart w:id="35" w:name="_Toc22719"/>
      <w:r>
        <w:rPr>
          <w:rFonts w:hint="eastAsia" w:ascii="宋体" w:hAnsi="宋体" w:eastAsia="宋体" w:cs="宋体"/>
          <w:color w:val="auto"/>
          <w:kern w:val="0"/>
          <w:szCs w:val="21"/>
          <w:highlight w:val="none"/>
        </w:rPr>
        <w:t>响应文件递交的截止时间为</w:t>
      </w:r>
      <w:r>
        <w:rPr>
          <w:rFonts w:hint="eastAsia" w:ascii="Times New Roman" w:hAnsi="Times New Roman" w:eastAsia="宋体" w:cs="Times New Roman"/>
          <w:b/>
          <w:bCs/>
          <w:color w:val="auto"/>
          <w:kern w:val="0"/>
          <w:sz w:val="21"/>
          <w:szCs w:val="21"/>
          <w:highlight w:val="none"/>
          <w:u w:val="single"/>
          <w:lang w:val="en-US" w:eastAsia="zh-CN" w:bidi="ar-SA"/>
        </w:rPr>
        <w:t>2025</w:t>
      </w:r>
      <w:r>
        <w:rPr>
          <w:rFonts w:hint="default" w:ascii="Times New Roman" w:hAnsi="Times New Roman" w:eastAsia="宋体" w:cs="Times New Roman"/>
          <w:b/>
          <w:bCs/>
          <w:color w:val="auto"/>
          <w:kern w:val="0"/>
          <w:sz w:val="21"/>
          <w:szCs w:val="21"/>
          <w:highlight w:val="none"/>
          <w:lang w:val="en-US" w:eastAsia="zh-CN" w:bidi="ar-SA"/>
        </w:rPr>
        <w:t>年</w:t>
      </w:r>
      <w:r>
        <w:rPr>
          <w:rFonts w:hint="eastAsia" w:ascii="Times New Roman" w:hAnsi="Times New Roman" w:eastAsia="宋体" w:cs="Times New Roman"/>
          <w:b/>
          <w:bCs/>
          <w:color w:val="auto"/>
          <w:kern w:val="0"/>
          <w:sz w:val="21"/>
          <w:szCs w:val="21"/>
          <w:highlight w:val="none"/>
          <w:u w:val="single"/>
          <w:lang w:val="en-US" w:eastAsia="zh-CN" w:bidi="ar-SA"/>
        </w:rPr>
        <w:t>9</w:t>
      </w:r>
      <w:r>
        <w:rPr>
          <w:rFonts w:hint="default" w:ascii="Times New Roman" w:hAnsi="Times New Roman" w:eastAsia="宋体" w:cs="Times New Roman"/>
          <w:b/>
          <w:bCs/>
          <w:color w:val="auto"/>
          <w:kern w:val="0"/>
          <w:sz w:val="21"/>
          <w:szCs w:val="21"/>
          <w:highlight w:val="none"/>
          <w:lang w:val="en-US" w:eastAsia="zh-CN" w:bidi="ar-SA"/>
        </w:rPr>
        <w:t>月</w:t>
      </w:r>
      <w:r>
        <w:rPr>
          <w:rFonts w:hint="eastAsia" w:ascii="Times New Roman" w:hAnsi="Times New Roman" w:eastAsia="宋体" w:cs="Times New Roman"/>
          <w:b/>
          <w:bCs/>
          <w:color w:val="auto"/>
          <w:kern w:val="0"/>
          <w:sz w:val="21"/>
          <w:szCs w:val="21"/>
          <w:highlight w:val="none"/>
          <w:u w:val="single"/>
          <w:lang w:val="en-US" w:eastAsia="zh-CN" w:bidi="ar-SA"/>
        </w:rPr>
        <w:t>18</w:t>
      </w:r>
      <w:r>
        <w:rPr>
          <w:rFonts w:hint="default" w:ascii="Times New Roman" w:hAnsi="Times New Roman" w:eastAsia="宋体" w:cs="Times New Roman"/>
          <w:b/>
          <w:bCs/>
          <w:color w:val="auto"/>
          <w:kern w:val="0"/>
          <w:sz w:val="21"/>
          <w:szCs w:val="21"/>
          <w:highlight w:val="none"/>
          <w:lang w:val="en-US" w:eastAsia="zh-CN" w:bidi="ar-SA"/>
        </w:rPr>
        <w:t>日</w:t>
      </w:r>
      <w:r>
        <w:rPr>
          <w:rFonts w:hint="eastAsia" w:ascii="Times New Roman" w:hAnsi="Times New Roman" w:eastAsia="宋体" w:cs="Times New Roman"/>
          <w:b/>
          <w:bCs/>
          <w:color w:val="auto"/>
          <w:kern w:val="0"/>
          <w:sz w:val="21"/>
          <w:szCs w:val="21"/>
          <w:highlight w:val="none"/>
          <w:u w:val="single"/>
          <w:lang w:val="en-US" w:eastAsia="zh-CN" w:bidi="ar-SA"/>
        </w:rPr>
        <w:t>14</w:t>
      </w:r>
      <w:r>
        <w:rPr>
          <w:rFonts w:hint="default" w:ascii="Times New Roman" w:hAnsi="Times New Roman" w:eastAsia="宋体" w:cs="Times New Roman"/>
          <w:b/>
          <w:bCs/>
          <w:color w:val="auto"/>
          <w:kern w:val="0"/>
          <w:sz w:val="21"/>
          <w:szCs w:val="21"/>
          <w:highlight w:val="none"/>
          <w:lang w:val="en-US" w:eastAsia="zh-CN" w:bidi="ar-SA"/>
        </w:rPr>
        <w:t>时</w:t>
      </w:r>
      <w:r>
        <w:rPr>
          <w:rFonts w:hint="eastAsia" w:ascii="Times New Roman" w:hAnsi="Times New Roman" w:eastAsia="宋体" w:cs="Times New Roman"/>
          <w:b/>
          <w:bCs/>
          <w:color w:val="auto"/>
          <w:kern w:val="0"/>
          <w:sz w:val="21"/>
          <w:szCs w:val="21"/>
          <w:highlight w:val="none"/>
          <w:u w:val="single"/>
          <w:lang w:val="en-US" w:eastAsia="zh-CN" w:bidi="ar-SA"/>
        </w:rPr>
        <w:t>30</w:t>
      </w:r>
      <w:r>
        <w:rPr>
          <w:rFonts w:hint="default" w:ascii="Times New Roman" w:hAnsi="Times New Roman" w:eastAsia="宋体" w:cs="Times New Roman"/>
          <w:b/>
          <w:bCs/>
          <w:color w:val="auto"/>
          <w:kern w:val="0"/>
          <w:sz w:val="21"/>
          <w:szCs w:val="21"/>
          <w:highlight w:val="none"/>
          <w:lang w:val="en-US" w:eastAsia="zh-CN" w:bidi="ar-SA"/>
        </w:rPr>
        <w:t>分</w:t>
      </w:r>
      <w:r>
        <w:rPr>
          <w:rFonts w:hint="eastAsia" w:ascii="宋体" w:hAnsi="宋体" w:eastAsia="宋体" w:cs="宋体"/>
          <w:color w:val="auto"/>
          <w:kern w:val="0"/>
          <w:szCs w:val="21"/>
          <w:highlight w:val="none"/>
        </w:rPr>
        <w:t>，供</w:t>
      </w:r>
      <w:r>
        <w:rPr>
          <w:rFonts w:hint="eastAsia" w:ascii="宋体" w:hAnsi="宋体" w:eastAsia="宋体" w:cs="宋体"/>
          <w:color w:val="auto"/>
          <w:kern w:val="0"/>
          <w:szCs w:val="21"/>
        </w:rPr>
        <w:t>应商的法定代表人或其授权代理人应在文件递交截止时间前，将响应文件递交至</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安徽省合肥市包河区西藏路1588号高速时代广场C1栋10楼1</w:t>
      </w:r>
      <w:r>
        <w:rPr>
          <w:rFonts w:hint="eastAsia" w:ascii="Times New Roman" w:hAnsi="Times New Roman" w:eastAsia="宋体" w:cs="Times New Roman"/>
          <w:color w:val="auto"/>
          <w:kern w:val="2"/>
          <w:sz w:val="21"/>
          <w:szCs w:val="21"/>
          <w:highlight w:val="none"/>
          <w:u w:val="single"/>
          <w:lang w:val="en-US" w:eastAsia="zh-CN" w:bidi="ar-SA"/>
        </w:rPr>
        <w:t>008</w:t>
      </w:r>
      <w:r>
        <w:rPr>
          <w:rFonts w:hint="default" w:ascii="Times New Roman" w:hAnsi="Times New Roman" w:eastAsia="宋体" w:cs="Times New Roman"/>
          <w:color w:val="auto"/>
          <w:kern w:val="2"/>
          <w:sz w:val="21"/>
          <w:szCs w:val="21"/>
          <w:highlight w:val="none"/>
          <w:u w:val="single"/>
          <w:lang w:val="en-US" w:eastAsia="zh-CN" w:bidi="ar-SA"/>
        </w:rPr>
        <w:t>室</w:t>
      </w:r>
      <w:r>
        <w:rPr>
          <w:rFonts w:hint="eastAsia" w:ascii="宋体" w:hAnsi="宋体" w:eastAsia="宋体" w:cs="宋体"/>
          <w:color w:val="auto"/>
          <w:szCs w:val="21"/>
        </w:rPr>
        <w:t>。</w:t>
      </w:r>
    </w:p>
    <w:p w14:paraId="2C4967C6">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rPr>
      </w:pPr>
      <w:r>
        <w:rPr>
          <w:rFonts w:hint="eastAsia" w:ascii="Times New Roman" w:hAnsi="Times New Roman" w:eastAsia="黑体" w:cs="Times New Roman"/>
          <w:bCs/>
          <w:color w:val="auto"/>
          <w:sz w:val="22"/>
          <w:szCs w:val="15"/>
        </w:rPr>
        <w:t>响应文件启封</w:t>
      </w:r>
    </w:p>
    <w:p w14:paraId="37370C59">
      <w:pPr>
        <w:spacing w:line="400" w:lineRule="exact"/>
        <w:ind w:firstLine="420" w:firstLineChars="200"/>
        <w:rPr>
          <w:rFonts w:hint="default" w:ascii="Times New Roman" w:hAnsi="Times New Roman" w:eastAsia="宋体" w:cs="Times New Roman"/>
          <w:b/>
          <w:bCs/>
          <w:color w:val="auto"/>
          <w:szCs w:val="22"/>
          <w:highlight w:val="none"/>
          <w:lang w:val="en-US" w:eastAsia="zh-CN"/>
        </w:rPr>
      </w:pPr>
      <w:r>
        <w:rPr>
          <w:rFonts w:ascii="Times New Roman" w:hAnsi="Times New Roman" w:eastAsia="宋体" w:cs="Times New Roman"/>
          <w:color w:val="auto"/>
          <w:szCs w:val="22"/>
        </w:rPr>
        <w:t>响应文件的递交截止时间到后，采购人将于</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安徽省合肥市包河区西藏路1588号高速时代广场C1栋10楼1012室职工书屋</w:t>
      </w:r>
      <w:r>
        <w:rPr>
          <w:rFonts w:ascii="Times New Roman" w:hAnsi="Times New Roman" w:eastAsia="宋体" w:cs="Times New Roman"/>
          <w:color w:val="auto"/>
          <w:szCs w:val="22"/>
        </w:rPr>
        <w:t>（地点）</w:t>
      </w:r>
      <w:r>
        <w:rPr>
          <w:rFonts w:hint="eastAsia" w:ascii="Times New Roman" w:hAnsi="Times New Roman" w:eastAsia="宋体" w:cs="Times New Roman"/>
          <w:color w:val="auto"/>
          <w:szCs w:val="22"/>
        </w:rPr>
        <w:t>现场</w:t>
      </w:r>
      <w:r>
        <w:rPr>
          <w:rFonts w:ascii="Times New Roman" w:hAnsi="Times New Roman" w:eastAsia="宋体" w:cs="Times New Roman"/>
          <w:color w:val="auto"/>
          <w:szCs w:val="22"/>
        </w:rPr>
        <w:t>组织进行响应文件的启</w:t>
      </w:r>
      <w:r>
        <w:rPr>
          <w:rFonts w:hint="eastAsia" w:ascii="Times New Roman" w:hAnsi="Times New Roman" w:eastAsia="宋体" w:cs="Times New Roman"/>
          <w:color w:val="auto"/>
          <w:szCs w:val="22"/>
        </w:rPr>
        <w:t>封。</w:t>
      </w:r>
      <w:r>
        <w:rPr>
          <w:rFonts w:hint="eastAsia" w:ascii="Times New Roman" w:hAnsi="Times New Roman" w:eastAsia="宋体" w:cs="Times New Roman"/>
          <w:color w:val="auto"/>
          <w:szCs w:val="22"/>
          <w:highlight w:val="yellow"/>
        </w:rPr>
        <w:t>供应商的法定代表人应携带本人身份证原件及法定代表人身份证明书；如由授权代理人出席，则需携带本人身份证原件及授权委托书准时参加启封会议。</w:t>
      </w:r>
    </w:p>
    <w:p w14:paraId="160DC983">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rPr>
      </w:pPr>
      <w:r>
        <w:rPr>
          <w:rFonts w:hint="eastAsia" w:ascii="Times New Roman" w:hAnsi="Times New Roman" w:eastAsia="黑体" w:cs="Times New Roman"/>
          <w:bCs/>
          <w:color w:val="auto"/>
          <w:sz w:val="22"/>
          <w:szCs w:val="15"/>
        </w:rPr>
        <w:t>响应保证金</w:t>
      </w:r>
    </w:p>
    <w:p w14:paraId="303E9276">
      <w:pPr>
        <w:snapToGrid w:val="0"/>
        <w:spacing w:beforeLines="0" w:afterLines="0" w:line="440" w:lineRule="exact"/>
        <w:ind w:firstLine="420" w:firstLineChars="200"/>
        <w:rPr>
          <w:rFonts w:hint="default" w:ascii="Times New Roman" w:hAnsi="Times New Roman"/>
          <w:color w:val="auto"/>
          <w:sz w:val="21"/>
          <w:szCs w:val="21"/>
        </w:rPr>
      </w:pPr>
      <w:r>
        <w:rPr>
          <w:rFonts w:hint="eastAsia" w:ascii="Times New Roman" w:hAnsi="Times New Roman"/>
          <w:color w:val="auto"/>
          <w:sz w:val="21"/>
          <w:szCs w:val="21"/>
        </w:rPr>
        <w:t>响应保证金的金额：</w:t>
      </w:r>
    </w:p>
    <w:p w14:paraId="654939D3">
      <w:pPr>
        <w:widowControl/>
        <w:spacing w:line="400" w:lineRule="exact"/>
        <w:ind w:firstLine="420"/>
        <w:rPr>
          <w:rFonts w:hint="eastAsia" w:ascii="宋体" w:hAnsi="宋体" w:eastAsia="宋体" w:cs="宋体"/>
          <w:b/>
          <w:bCs/>
          <w:color w:val="auto"/>
          <w:szCs w:val="21"/>
          <w:highlight w:val="none"/>
          <w:u w:val="none"/>
        </w:rPr>
      </w:pPr>
      <w:r>
        <w:rPr>
          <w:rFonts w:hint="eastAsia" w:ascii="宋体" w:hAnsi="宋体" w:eastAsia="宋体" w:cs="宋体"/>
          <w:b/>
          <w:bCs/>
          <w:color w:val="auto"/>
          <w:szCs w:val="21"/>
          <w:highlight w:val="none"/>
          <w:lang w:val="en-US" w:eastAsia="zh-CN"/>
        </w:rPr>
        <w:t>本项目01包</w:t>
      </w:r>
      <w:r>
        <w:rPr>
          <w:rFonts w:hint="eastAsia" w:ascii="宋体" w:hAnsi="宋体" w:eastAsia="宋体" w:cs="宋体"/>
          <w:b/>
          <w:bCs/>
          <w:color w:val="auto"/>
          <w:szCs w:val="21"/>
          <w:highlight w:val="none"/>
        </w:rPr>
        <w:t>响应保证金：</w:t>
      </w:r>
      <w:r>
        <w:rPr>
          <w:rFonts w:hint="eastAsia" w:ascii="宋体" w:hAnsi="宋体" w:eastAsia="宋体" w:cs="宋体"/>
          <w:b/>
          <w:bCs/>
          <w:color w:val="auto"/>
          <w:szCs w:val="21"/>
          <w:highlight w:val="none"/>
          <w:u w:val="single"/>
          <w:lang w:val="en-US" w:eastAsia="zh-CN"/>
        </w:rPr>
        <w:t>1000</w:t>
      </w:r>
      <w:r>
        <w:rPr>
          <w:rFonts w:hint="eastAsia" w:ascii="宋体" w:hAnsi="宋体" w:eastAsia="宋体" w:cs="宋体"/>
          <w:b/>
          <w:bCs/>
          <w:color w:val="auto"/>
          <w:szCs w:val="21"/>
          <w:highlight w:val="none"/>
        </w:rPr>
        <w:t>元</w:t>
      </w:r>
      <w:r>
        <w:rPr>
          <w:rFonts w:hint="eastAsia" w:ascii="Times New Roman" w:hAnsi="Times New Roman" w:eastAsia="宋体" w:cs="Times New Roman"/>
          <w:b/>
          <w:bCs/>
          <w:color w:val="auto"/>
          <w:kern w:val="2"/>
          <w:sz w:val="21"/>
          <w:szCs w:val="21"/>
          <w:highlight w:val="none"/>
          <w:lang w:val="en-US" w:eastAsia="zh-CN" w:bidi="ar-SA"/>
        </w:rPr>
        <w:t>（大写：</w:t>
      </w:r>
      <w:r>
        <w:rPr>
          <w:rFonts w:hint="eastAsia" w:ascii="Times New Roman" w:hAnsi="Times New Roman" w:eastAsia="宋体" w:cs="Times New Roman"/>
          <w:b/>
          <w:bCs/>
          <w:color w:val="auto"/>
          <w:kern w:val="2"/>
          <w:sz w:val="21"/>
          <w:szCs w:val="21"/>
          <w:highlight w:val="none"/>
          <w:u w:val="single"/>
          <w:lang w:val="en-US" w:eastAsia="zh-CN" w:bidi="ar-SA"/>
        </w:rPr>
        <w:t>壹仟元整</w:t>
      </w:r>
      <w:r>
        <w:rPr>
          <w:rFonts w:hint="eastAsia" w:ascii="Times New Roman" w:hAnsi="Times New Roman" w:eastAsia="宋体" w:cs="Times New Roman"/>
          <w:b/>
          <w:bCs/>
          <w:color w:val="auto"/>
          <w:kern w:val="2"/>
          <w:sz w:val="21"/>
          <w:szCs w:val="21"/>
          <w:highlight w:val="none"/>
          <w:u w:val="none"/>
          <w:lang w:val="en-US" w:eastAsia="zh-CN" w:bidi="ar-SA"/>
        </w:rPr>
        <w:t>）</w:t>
      </w:r>
      <w:r>
        <w:rPr>
          <w:rFonts w:hint="eastAsia" w:ascii="宋体" w:hAnsi="宋体" w:eastAsia="宋体" w:cs="宋体"/>
          <w:b/>
          <w:bCs/>
          <w:color w:val="auto"/>
          <w:szCs w:val="21"/>
          <w:highlight w:val="none"/>
          <w:u w:val="none"/>
        </w:rPr>
        <w:t>。</w:t>
      </w:r>
    </w:p>
    <w:p w14:paraId="6BCFFCB1">
      <w:pPr>
        <w:widowControl/>
        <w:spacing w:line="400" w:lineRule="exact"/>
        <w:ind w:firstLine="42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u w:val="none"/>
          <w:lang w:val="en-US" w:eastAsia="zh-CN"/>
        </w:rPr>
        <w:t>本项目02包</w:t>
      </w:r>
      <w:r>
        <w:rPr>
          <w:rFonts w:hint="eastAsia" w:ascii="宋体" w:hAnsi="宋体" w:eastAsia="宋体" w:cs="宋体"/>
          <w:b/>
          <w:bCs/>
          <w:color w:val="auto"/>
          <w:szCs w:val="21"/>
          <w:highlight w:val="none"/>
          <w:u w:val="none"/>
        </w:rPr>
        <w:t>响应保证金：</w:t>
      </w:r>
      <w:r>
        <w:rPr>
          <w:rFonts w:hint="eastAsia" w:ascii="宋体" w:hAnsi="宋体" w:eastAsia="宋体" w:cs="宋体"/>
          <w:b/>
          <w:bCs/>
          <w:color w:val="auto"/>
          <w:szCs w:val="21"/>
          <w:highlight w:val="none"/>
          <w:u w:val="single"/>
          <w:lang w:val="en-US" w:eastAsia="zh-CN"/>
        </w:rPr>
        <w:t>2000</w:t>
      </w:r>
      <w:r>
        <w:rPr>
          <w:rFonts w:hint="eastAsia" w:ascii="宋体" w:hAnsi="宋体" w:eastAsia="宋体" w:cs="宋体"/>
          <w:b/>
          <w:bCs/>
          <w:color w:val="auto"/>
          <w:szCs w:val="21"/>
          <w:highlight w:val="none"/>
          <w:u w:val="none"/>
        </w:rPr>
        <w:t>元</w:t>
      </w:r>
      <w:r>
        <w:rPr>
          <w:rFonts w:hint="eastAsia" w:ascii="Times New Roman" w:hAnsi="Times New Roman" w:eastAsia="宋体" w:cs="Times New Roman"/>
          <w:b/>
          <w:bCs/>
          <w:color w:val="auto"/>
          <w:kern w:val="2"/>
          <w:sz w:val="21"/>
          <w:szCs w:val="21"/>
          <w:highlight w:val="none"/>
          <w:u w:val="none"/>
          <w:lang w:val="en-US" w:eastAsia="zh-CN" w:bidi="ar-SA"/>
        </w:rPr>
        <w:t>（大写：</w:t>
      </w:r>
      <w:r>
        <w:rPr>
          <w:rFonts w:hint="eastAsia" w:ascii="Times New Roman" w:hAnsi="Times New Roman" w:eastAsia="宋体" w:cs="Times New Roman"/>
          <w:b/>
          <w:bCs/>
          <w:color w:val="auto"/>
          <w:kern w:val="2"/>
          <w:sz w:val="21"/>
          <w:szCs w:val="21"/>
          <w:highlight w:val="none"/>
          <w:u w:val="single"/>
          <w:lang w:val="en-US" w:eastAsia="zh-CN" w:bidi="ar-SA"/>
        </w:rPr>
        <w:t>贰仟元整</w:t>
      </w:r>
      <w:r>
        <w:rPr>
          <w:rFonts w:hint="eastAsia" w:ascii="Times New Roman" w:hAnsi="Times New Roman" w:eastAsia="宋体" w:cs="Times New Roman"/>
          <w:b/>
          <w:bCs/>
          <w:color w:val="auto"/>
          <w:kern w:val="2"/>
          <w:sz w:val="21"/>
          <w:szCs w:val="21"/>
          <w:highlight w:val="none"/>
          <w:lang w:val="en-US" w:eastAsia="zh-CN" w:bidi="ar-SA"/>
        </w:rPr>
        <w:t>）</w:t>
      </w:r>
      <w:r>
        <w:rPr>
          <w:rFonts w:hint="eastAsia" w:ascii="宋体" w:hAnsi="宋体" w:eastAsia="宋体" w:cs="宋体"/>
          <w:b/>
          <w:bCs/>
          <w:color w:val="auto"/>
          <w:szCs w:val="21"/>
          <w:highlight w:val="none"/>
        </w:rPr>
        <w:t>。</w:t>
      </w:r>
    </w:p>
    <w:p w14:paraId="0DF0A1C2">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若采用电汇（转账）形式，响应保证金必须由供应商的基本账户一次性汇入所示账户，并在响应截止时间前到账，否则无效。</w:t>
      </w:r>
    </w:p>
    <w:p w14:paraId="1A5B32D4">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响应保证金的账户信息：</w:t>
      </w:r>
    </w:p>
    <w:p w14:paraId="617C74E0">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户</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名：</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安徽省经工物资有限公司</w:t>
      </w:r>
    </w:p>
    <w:p w14:paraId="2F3907A8">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开户银行：</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工行合肥蜀山支行</w:t>
      </w:r>
    </w:p>
    <w:p w14:paraId="607D0B0B">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账</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号：</w:t>
      </w:r>
      <w:r>
        <w:rPr>
          <w:rFonts w:hint="default" w:ascii="Times New Roman" w:hAnsi="Times New Roman"/>
          <w:color w:val="auto"/>
          <w:sz w:val="21"/>
          <w:szCs w:val="21"/>
          <w:lang w:bidi="ar"/>
        </w:rPr>
        <w:t>1302012119200034038</w:t>
      </w:r>
    </w:p>
    <w:p w14:paraId="3C5AB4D2">
      <w:pPr>
        <w:spacing w:line="440" w:lineRule="exact"/>
        <w:ind w:firstLine="420"/>
        <w:rPr>
          <w:rFonts w:hint="default" w:ascii="Times New Roman" w:hAnsi="Times New Roman"/>
          <w:b/>
          <w:color w:val="auto"/>
          <w:sz w:val="21"/>
          <w:szCs w:val="21"/>
          <w:highlight w:val="none"/>
          <w:u w:val="single"/>
          <w:lang w:val="en-US"/>
        </w:rPr>
      </w:pPr>
      <w:r>
        <w:rPr>
          <w:rFonts w:hint="eastAsia" w:ascii="宋体" w:hAnsi="宋体" w:cs="宋体"/>
          <w:b/>
          <w:color w:val="auto"/>
          <w:sz w:val="21"/>
          <w:szCs w:val="21"/>
          <w:highlight w:val="none"/>
          <w:lang w:bidi="ar"/>
        </w:rPr>
        <w:t>付款备注：</w:t>
      </w:r>
      <w:r>
        <w:rPr>
          <w:rFonts w:hint="eastAsia" w:ascii="宋体" w:hAnsi="宋体" w:eastAsia="宋体" w:cs="宋体"/>
          <w:b/>
          <w:bCs/>
          <w:color w:val="auto"/>
          <w:kern w:val="2"/>
          <w:sz w:val="21"/>
          <w:szCs w:val="21"/>
          <w:highlight w:val="none"/>
          <w:lang w:val="en-US" w:eastAsia="zh-CN" w:bidi="ar"/>
        </w:rPr>
        <w:t>东鄱、皖赣电器响应保证</w:t>
      </w:r>
      <w:r>
        <w:rPr>
          <w:rFonts w:hint="eastAsia" w:ascii="宋体" w:hAnsi="宋体" w:eastAsia="宋体" w:cs="宋体"/>
          <w:b/>
          <w:bCs/>
          <w:color w:val="auto"/>
          <w:kern w:val="2"/>
          <w:sz w:val="21"/>
          <w:szCs w:val="21"/>
          <w:highlight w:val="none"/>
          <w:u w:val="single"/>
          <w:lang w:val="en-US" w:eastAsia="zh-CN" w:bidi="ar"/>
        </w:rPr>
        <w:t xml:space="preserve">   包段</w:t>
      </w:r>
    </w:p>
    <w:p w14:paraId="0D707131">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上述账号为本项目专用账号，为保证响应保证金准确及时的支付至本项目专用账号，请采用网银或电汇形式支付，如果采用其他形式支付导致保证金信息不全或错误，由此产生的一切后果由供应商自行承担。</w:t>
      </w:r>
    </w:p>
    <w:p w14:paraId="27D34F68">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备注：</w:t>
      </w:r>
    </w:p>
    <w:p w14:paraId="7CAF9D31">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w:t>
      </w:r>
      <w:r>
        <w:rPr>
          <w:rFonts w:hint="default" w:ascii="Times New Roman" w:hAnsi="Times New Roman"/>
          <w:color w:val="auto"/>
          <w:sz w:val="21"/>
          <w:szCs w:val="21"/>
          <w:lang w:bidi="ar"/>
        </w:rPr>
        <w:t>1</w:t>
      </w:r>
      <w:r>
        <w:rPr>
          <w:rFonts w:hint="eastAsia" w:ascii="宋体" w:hAnsi="宋体" w:cs="宋体"/>
          <w:color w:val="auto"/>
          <w:sz w:val="21"/>
          <w:szCs w:val="21"/>
          <w:lang w:bidi="ar"/>
        </w:rPr>
        <w:t>）如采用银行转账或银行电汇：</w:t>
      </w:r>
    </w:p>
    <w:p w14:paraId="4AD0CDB6">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①响应保证金的到账截止时间：响应文件递交截止时间。</w:t>
      </w:r>
    </w:p>
    <w:p w14:paraId="558F3177">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②供应商基本账户汇入到上述账户，采购人不接受以个人名义或以现金形式提交的响应保证金。</w:t>
      </w:r>
    </w:p>
    <w:p w14:paraId="6AF987E4">
      <w:pPr>
        <w:spacing w:beforeLines="0" w:afterLines="0" w:line="440" w:lineRule="exact"/>
        <w:ind w:firstLine="420"/>
        <w:rPr>
          <w:rFonts w:hint="eastAsia" w:ascii="宋体" w:hAnsi="宋体" w:eastAsia="宋体" w:cs="宋体"/>
          <w:color w:val="auto"/>
          <w:szCs w:val="21"/>
        </w:rPr>
      </w:pPr>
      <w:r>
        <w:rPr>
          <w:rFonts w:ascii="宋体" w:hAnsi="宋体" w:eastAsia="宋体" w:cs="宋体"/>
          <w:b/>
          <w:bCs/>
          <w:i w:val="0"/>
          <w:iCs w:val="0"/>
          <w:caps w:val="0"/>
          <w:color w:val="auto"/>
          <w:spacing w:val="2"/>
          <w:sz w:val="21"/>
          <w:szCs w:val="21"/>
        </w:rPr>
        <w:t>（</w:t>
      </w:r>
      <w:r>
        <w:rPr>
          <w:rFonts w:hint="default" w:ascii="Times New Roman" w:hAnsi="Times New Roman" w:eastAsia="宋体" w:cs="Times New Roman"/>
          <w:b/>
          <w:bCs/>
          <w:i w:val="0"/>
          <w:iCs w:val="0"/>
          <w:caps w:val="0"/>
          <w:color w:val="auto"/>
          <w:spacing w:val="0"/>
          <w:sz w:val="21"/>
          <w:szCs w:val="21"/>
        </w:rPr>
        <w:t>2</w:t>
      </w:r>
      <w:r>
        <w:rPr>
          <w:rFonts w:ascii="宋体" w:hAnsi="宋体" w:eastAsia="宋体" w:cs="宋体"/>
          <w:b/>
          <w:bCs/>
          <w:i w:val="0"/>
          <w:iCs w:val="0"/>
          <w:caps w:val="0"/>
          <w:color w:val="auto"/>
          <w:spacing w:val="0"/>
          <w:sz w:val="21"/>
          <w:szCs w:val="21"/>
        </w:rPr>
        <w:t>）成交公示后，在合同签订前，乙方需向甲方支付合同总价</w:t>
      </w:r>
      <w:r>
        <w:rPr>
          <w:rFonts w:hint="eastAsia" w:ascii="宋体" w:hAnsi="宋体" w:eastAsia="宋体" w:cs="宋体"/>
          <w:b/>
          <w:bCs/>
          <w:i w:val="0"/>
          <w:iCs w:val="0"/>
          <w:caps w:val="0"/>
          <w:color w:val="auto"/>
          <w:spacing w:val="0"/>
          <w:sz w:val="21"/>
          <w:szCs w:val="21"/>
          <w:lang w:val="en-US" w:eastAsia="zh-CN"/>
        </w:rPr>
        <w:t>2%</w:t>
      </w:r>
      <w:r>
        <w:rPr>
          <w:rFonts w:ascii="宋体" w:hAnsi="宋体" w:eastAsia="宋体" w:cs="宋体"/>
          <w:b/>
          <w:bCs/>
          <w:i w:val="0"/>
          <w:iCs w:val="0"/>
          <w:caps w:val="0"/>
          <w:color w:val="auto"/>
          <w:spacing w:val="0"/>
          <w:sz w:val="21"/>
          <w:szCs w:val="21"/>
        </w:rPr>
        <w:t>的履约保证金或提供合同总价</w:t>
      </w:r>
      <w:r>
        <w:rPr>
          <w:rFonts w:hint="eastAsia" w:ascii="宋体" w:hAnsi="宋体" w:eastAsia="宋体" w:cs="宋体"/>
          <w:b/>
          <w:bCs/>
          <w:i w:val="0"/>
          <w:iCs w:val="0"/>
          <w:caps w:val="0"/>
          <w:color w:val="auto"/>
          <w:spacing w:val="0"/>
          <w:sz w:val="21"/>
          <w:szCs w:val="21"/>
          <w:lang w:val="en-US" w:eastAsia="zh-CN"/>
        </w:rPr>
        <w:t>5%</w:t>
      </w:r>
      <w:r>
        <w:rPr>
          <w:rFonts w:ascii="宋体" w:hAnsi="宋体" w:eastAsia="宋体" w:cs="宋体"/>
          <w:b/>
          <w:bCs/>
          <w:i w:val="0"/>
          <w:iCs w:val="0"/>
          <w:caps w:val="0"/>
          <w:color w:val="auto"/>
          <w:spacing w:val="0"/>
          <w:sz w:val="21"/>
          <w:szCs w:val="21"/>
        </w:rPr>
        <w:t>的银行保函。</w:t>
      </w:r>
      <w:r>
        <w:rPr>
          <w:rFonts w:ascii="宋体" w:hAnsi="宋体" w:eastAsia="宋体" w:cs="宋体"/>
          <w:i w:val="0"/>
          <w:iCs w:val="0"/>
          <w:caps w:val="0"/>
          <w:color w:val="auto"/>
          <w:spacing w:val="0"/>
          <w:sz w:val="21"/>
          <w:szCs w:val="21"/>
        </w:rPr>
        <w:t xml:space="preserve"> </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rPr>
        <w:t xml:space="preserve"> </w:t>
      </w:r>
    </w:p>
    <w:bookmarkEnd w:id="34"/>
    <w:bookmarkEnd w:id="35"/>
    <w:p w14:paraId="60BFA1D5">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36" w:name="_Toc525632592"/>
      <w:bookmarkStart w:id="37" w:name="_Toc14943_WPSOffice_Level2"/>
      <w:bookmarkStart w:id="38" w:name="_Toc26829"/>
      <w:bookmarkStart w:id="39" w:name="_Toc20572_WPSOffice_Level2"/>
      <w:bookmarkStart w:id="40" w:name="_Toc321_WPSOffice_Level2"/>
      <w:bookmarkStart w:id="41" w:name="_Toc8501"/>
      <w:bookmarkStart w:id="42" w:name="_Toc28571_WPSOffice_Level2"/>
      <w:r>
        <w:rPr>
          <w:rFonts w:hint="default" w:ascii="Times New Roman" w:hAnsi="Times New Roman" w:eastAsia="黑体" w:cs="Times New Roman"/>
          <w:b w:val="0"/>
          <w:bCs/>
          <w:color w:val="auto"/>
          <w:sz w:val="22"/>
          <w:szCs w:val="15"/>
          <w:highlight w:val="none"/>
          <w:lang w:val="en-US" w:eastAsia="zh-CN"/>
        </w:rPr>
        <w:t>发布公告的媒介</w:t>
      </w:r>
    </w:p>
    <w:p w14:paraId="711CCAA2">
      <w:pPr>
        <w:snapToGrid w:val="0"/>
        <w:spacing w:beforeLines="0" w:afterLines="0" w:line="440" w:lineRule="exact"/>
        <w:ind w:firstLine="420" w:firstLineChars="200"/>
        <w:rPr>
          <w:rFonts w:hint="default"/>
          <w:color w:val="auto"/>
          <w:sz w:val="21"/>
          <w:szCs w:val="24"/>
        </w:rPr>
      </w:pPr>
      <w:r>
        <w:rPr>
          <w:rFonts w:hint="eastAsia" w:ascii="Times New Roman" w:hAnsi="Times New Roman"/>
          <w:color w:val="auto"/>
          <w:sz w:val="21"/>
          <w:szCs w:val="22"/>
        </w:rPr>
        <w:t xml:space="preserve">本次采购公告在“ </w:t>
      </w:r>
      <w:r>
        <w:rPr>
          <w:rFonts w:hint="eastAsia" w:ascii="Times New Roman" w:hAnsi="Times New Roman"/>
          <w:color w:val="auto"/>
          <w:sz w:val="21"/>
          <w:szCs w:val="22"/>
          <w:lang w:eastAsia="zh-CN"/>
        </w:rPr>
        <w:t>安徽交控建设工程集团有限公司</w:t>
      </w:r>
      <w:r>
        <w:rPr>
          <w:rFonts w:hint="eastAsia" w:ascii="Times New Roman" w:hAnsi="Times New Roman"/>
          <w:color w:val="auto"/>
          <w:sz w:val="21"/>
          <w:szCs w:val="22"/>
        </w:rPr>
        <w:t>”（网址：www.ahjggroup.com）“招标公告”栏目中发布。</w:t>
      </w:r>
    </w:p>
    <w:p w14:paraId="01DF32E3">
      <w:pPr>
        <w:keepNext/>
        <w:keepLines/>
        <w:numPr>
          <w:ilvl w:val="0"/>
          <w:numId w:val="2"/>
        </w:numPr>
        <w:snapToGrid w:val="0"/>
        <w:spacing w:before="120" w:after="120" w:line="400" w:lineRule="exact"/>
        <w:ind w:firstLine="403"/>
        <w:outlineLvl w:val="1"/>
        <w:rPr>
          <w:rFonts w:hint="eastAsia" w:ascii="宋体" w:hAnsi="宋体" w:eastAsia="宋体" w:cs="宋体"/>
          <w:bCs/>
          <w:color w:val="auto"/>
          <w:szCs w:val="21"/>
        </w:rPr>
      </w:pPr>
      <w:r>
        <w:rPr>
          <w:rFonts w:hint="eastAsia" w:ascii="Times New Roman" w:hAnsi="Times New Roman" w:eastAsia="黑体" w:cs="Times New Roman"/>
          <w:bCs/>
          <w:color w:val="auto"/>
          <w:sz w:val="22"/>
          <w:szCs w:val="15"/>
        </w:rPr>
        <w:t>采购人联系方式</w:t>
      </w:r>
      <w:bookmarkEnd w:id="36"/>
      <w:bookmarkEnd w:id="37"/>
      <w:bookmarkEnd w:id="38"/>
      <w:bookmarkEnd w:id="39"/>
      <w:bookmarkEnd w:id="40"/>
      <w:bookmarkEnd w:id="41"/>
      <w:bookmarkEnd w:id="42"/>
      <w:r>
        <w:rPr>
          <w:rFonts w:hint="eastAsia" w:ascii="Times New Roman" w:hAnsi="Times New Roman" w:eastAsia="黑体" w:cs="Times New Roman"/>
          <w:bCs/>
          <w:color w:val="auto"/>
          <w:sz w:val="22"/>
          <w:szCs w:val="15"/>
        </w:rPr>
        <w:t xml:space="preserve">     </w:t>
      </w:r>
      <w:r>
        <w:rPr>
          <w:rFonts w:hint="eastAsia" w:ascii="宋体" w:hAnsi="宋体" w:eastAsia="宋体" w:cs="宋体"/>
          <w:bCs/>
          <w:color w:val="auto"/>
          <w:szCs w:val="21"/>
        </w:rPr>
        <w:t xml:space="preserve"> </w:t>
      </w:r>
    </w:p>
    <w:p w14:paraId="6AAFE815">
      <w:pPr>
        <w:spacing w:line="400" w:lineRule="exact"/>
        <w:ind w:firstLine="420" w:firstLineChars="200"/>
        <w:rPr>
          <w:rFonts w:hint="eastAsia" w:ascii="宋体" w:hAnsi="宋体" w:eastAsia="宋体" w:cs="宋体"/>
          <w:color w:val="auto"/>
          <w:szCs w:val="21"/>
          <w:lang w:eastAsia="zh-CN"/>
        </w:rPr>
      </w:pPr>
      <w:r>
        <w:rPr>
          <w:rFonts w:hint="eastAsia" w:ascii="宋体" w:hAnsi="宋体" w:eastAsia="宋体" w:cs="宋体"/>
          <w:color w:val="auto"/>
          <w:szCs w:val="21"/>
        </w:rPr>
        <w:t>采 购 人：</w:t>
      </w:r>
      <w:r>
        <w:rPr>
          <w:rFonts w:hint="eastAsia" w:ascii="宋体" w:hAnsi="宋体" w:eastAsia="宋体" w:cs="宋体"/>
          <w:color w:val="auto"/>
          <w:szCs w:val="21"/>
          <w:lang w:eastAsia="zh-CN"/>
        </w:rPr>
        <w:t>安徽省经工物资有限公司</w:t>
      </w:r>
    </w:p>
    <w:p w14:paraId="7967619E">
      <w:pPr>
        <w:spacing w:line="40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地    址：安徽省合肥市包河区西藏路1588号高速时代广场C1栋1008室</w:t>
      </w:r>
    </w:p>
    <w:p w14:paraId="091A1E5C">
      <w:pPr>
        <w:spacing w:line="4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rPr>
        <w:t>邮</w:t>
      </w:r>
      <w:r>
        <w:rPr>
          <w:rFonts w:hint="eastAsia" w:ascii="宋体" w:hAnsi="宋体" w:eastAsia="宋体" w:cs="宋体"/>
          <w:color w:val="auto"/>
          <w:szCs w:val="21"/>
          <w:highlight w:val="none"/>
        </w:rPr>
        <w:t>政编码：</w:t>
      </w:r>
      <w:r>
        <w:rPr>
          <w:rFonts w:hint="eastAsia" w:ascii="宋体" w:hAnsi="宋体" w:eastAsia="宋体" w:cs="宋体"/>
          <w:color w:val="auto"/>
          <w:szCs w:val="21"/>
          <w:highlight w:val="none"/>
          <w:u w:val="single"/>
        </w:rPr>
        <w:t xml:space="preserve">           /                 </w:t>
      </w:r>
    </w:p>
    <w:p w14:paraId="4A0B5722">
      <w:pPr>
        <w:spacing w:line="4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 系 人：</w:t>
      </w:r>
      <w:r>
        <w:rPr>
          <w:rFonts w:hint="eastAsia" w:ascii="宋体" w:hAnsi="宋体" w:eastAsia="宋体" w:cs="宋体"/>
          <w:color w:val="auto"/>
          <w:szCs w:val="21"/>
          <w:highlight w:val="none"/>
          <w:u w:val="single"/>
        </w:rPr>
        <w:t xml:space="preserve">     余工、</w:t>
      </w:r>
      <w:r>
        <w:rPr>
          <w:rFonts w:hint="eastAsia" w:ascii="宋体" w:hAnsi="宋体" w:eastAsia="宋体" w:cs="宋体"/>
          <w:color w:val="auto"/>
          <w:szCs w:val="21"/>
          <w:highlight w:val="none"/>
          <w:u w:val="single"/>
          <w:lang w:val="en-US" w:eastAsia="zh-CN"/>
        </w:rPr>
        <w:t>方</w:t>
      </w:r>
      <w:r>
        <w:rPr>
          <w:rFonts w:hint="eastAsia" w:ascii="宋体" w:hAnsi="宋体" w:eastAsia="宋体" w:cs="宋体"/>
          <w:color w:val="auto"/>
          <w:szCs w:val="21"/>
          <w:highlight w:val="none"/>
          <w:u w:val="single"/>
        </w:rPr>
        <w:t xml:space="preserve">工              </w:t>
      </w:r>
      <w:r>
        <w:rPr>
          <w:rFonts w:hint="eastAsia" w:ascii="宋体" w:hAnsi="宋体" w:eastAsia="宋体" w:cs="宋体"/>
          <w:color w:val="auto"/>
          <w:szCs w:val="21"/>
          <w:highlight w:val="none"/>
        </w:rPr>
        <w:t xml:space="preserve">  </w:t>
      </w:r>
    </w:p>
    <w:p w14:paraId="301A9788">
      <w:pPr>
        <w:spacing w:line="400" w:lineRule="exact"/>
        <w:ind w:firstLine="420" w:firstLineChars="20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电    话：</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u w:val="single"/>
          <w:lang w:val="en-US" w:eastAsia="zh-CN"/>
        </w:rPr>
        <w:t>13866130523</w:t>
      </w:r>
      <w:r>
        <w:rPr>
          <w:rFonts w:hint="eastAsia" w:ascii="宋体" w:hAnsi="宋体" w:eastAsia="宋体" w:cs="宋体"/>
          <w:color w:val="auto"/>
          <w:szCs w:val="21"/>
          <w:highlight w:val="none"/>
          <w:u w:val="single"/>
        </w:rPr>
        <w:t xml:space="preserve">、15256002215  </w:t>
      </w:r>
    </w:p>
    <w:p w14:paraId="6D1CAFC7">
      <w:pPr>
        <w:spacing w:line="400" w:lineRule="exact"/>
        <w:ind w:firstLine="420" w:firstLineChars="20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电子邮箱：</w:t>
      </w:r>
      <w:r>
        <w:rPr>
          <w:rFonts w:hint="eastAsia" w:ascii="宋体" w:hAnsi="宋体" w:eastAsia="宋体" w:cs="宋体"/>
          <w:color w:val="auto"/>
          <w:szCs w:val="21"/>
          <w:highlight w:val="none"/>
          <w:u w:val="single"/>
        </w:rPr>
        <w:t xml:space="preserve">          /                  </w:t>
      </w:r>
    </w:p>
    <w:p w14:paraId="083667A5">
      <w:pPr>
        <w:spacing w:line="400" w:lineRule="exact"/>
        <w:ind w:firstLine="420" w:firstLineChars="200"/>
        <w:rPr>
          <w:rFonts w:hint="eastAsia" w:ascii="宋体" w:hAnsi="宋体" w:eastAsia="宋体" w:cs="宋体"/>
          <w:color w:val="auto"/>
          <w:szCs w:val="21"/>
          <w:highlight w:val="none"/>
          <w:u w:val="single"/>
        </w:rPr>
      </w:pPr>
    </w:p>
    <w:p w14:paraId="24BB0093">
      <w:pPr>
        <w:spacing w:line="400" w:lineRule="exact"/>
        <w:ind w:firstLine="420" w:firstLineChars="200"/>
        <w:rPr>
          <w:rFonts w:hint="eastAsia" w:ascii="宋体" w:hAnsi="宋体" w:eastAsia="宋体" w:cs="宋体"/>
          <w:color w:val="auto"/>
          <w:szCs w:val="21"/>
          <w:highlight w:val="none"/>
          <w:u w:val="single"/>
        </w:rPr>
      </w:pPr>
    </w:p>
    <w:p w14:paraId="79504126">
      <w:pPr>
        <w:pStyle w:val="2"/>
        <w:rPr>
          <w:rFonts w:hint="eastAsia" w:ascii="宋体" w:hAnsi="宋体" w:eastAsia="宋体" w:cs="宋体"/>
          <w:color w:val="auto"/>
          <w:szCs w:val="21"/>
          <w:highlight w:val="none"/>
          <w:u w:val="single"/>
        </w:rPr>
      </w:pPr>
    </w:p>
    <w:p w14:paraId="64A6C821">
      <w:pPr>
        <w:pStyle w:val="3"/>
        <w:rPr>
          <w:rFonts w:hint="eastAsia" w:ascii="宋体" w:hAnsi="宋体" w:eastAsia="宋体" w:cs="宋体"/>
          <w:color w:val="auto"/>
          <w:szCs w:val="21"/>
          <w:highlight w:val="none"/>
          <w:u w:val="single"/>
        </w:rPr>
      </w:pPr>
    </w:p>
    <w:p w14:paraId="418FF463">
      <w:pPr>
        <w:pStyle w:val="4"/>
        <w:rPr>
          <w:rFonts w:hint="eastAsia" w:ascii="宋体" w:hAnsi="宋体" w:eastAsia="宋体" w:cs="宋体"/>
          <w:color w:val="auto"/>
          <w:szCs w:val="21"/>
          <w:highlight w:val="none"/>
          <w:u w:val="single"/>
        </w:rPr>
      </w:pPr>
    </w:p>
    <w:p w14:paraId="28373452">
      <w:pPr>
        <w:rPr>
          <w:rFonts w:hint="eastAsia" w:ascii="宋体" w:hAnsi="宋体" w:eastAsia="宋体" w:cs="宋体"/>
          <w:color w:val="auto"/>
          <w:szCs w:val="21"/>
          <w:highlight w:val="none"/>
          <w:u w:val="single"/>
        </w:rPr>
      </w:pPr>
    </w:p>
    <w:p w14:paraId="207123AD">
      <w:pPr>
        <w:pStyle w:val="2"/>
        <w:rPr>
          <w:rFonts w:hint="eastAsia" w:ascii="宋体" w:hAnsi="宋体" w:eastAsia="宋体" w:cs="宋体"/>
          <w:color w:val="auto"/>
          <w:szCs w:val="21"/>
          <w:highlight w:val="none"/>
          <w:u w:val="single"/>
        </w:rPr>
      </w:pPr>
    </w:p>
    <w:p w14:paraId="35090581">
      <w:pPr>
        <w:pStyle w:val="3"/>
        <w:rPr>
          <w:rFonts w:hint="eastAsia" w:ascii="宋体" w:hAnsi="宋体" w:eastAsia="宋体" w:cs="宋体"/>
          <w:color w:val="auto"/>
          <w:szCs w:val="21"/>
          <w:highlight w:val="none"/>
          <w:u w:val="single"/>
        </w:rPr>
      </w:pPr>
    </w:p>
    <w:p w14:paraId="36386DB2">
      <w:pPr>
        <w:pStyle w:val="4"/>
        <w:rPr>
          <w:rFonts w:hint="eastAsia" w:ascii="宋体" w:hAnsi="宋体" w:eastAsia="宋体" w:cs="宋体"/>
          <w:color w:val="auto"/>
          <w:szCs w:val="21"/>
          <w:highlight w:val="none"/>
          <w:u w:val="single"/>
        </w:rPr>
      </w:pPr>
    </w:p>
    <w:p w14:paraId="10195863">
      <w:pPr>
        <w:rPr>
          <w:rFonts w:hint="eastAsia" w:ascii="宋体" w:hAnsi="宋体" w:eastAsia="宋体" w:cs="宋体"/>
          <w:color w:val="auto"/>
          <w:szCs w:val="21"/>
          <w:highlight w:val="none"/>
          <w:u w:val="single"/>
        </w:rPr>
      </w:pPr>
    </w:p>
    <w:p w14:paraId="7A2E1F1C">
      <w:pPr>
        <w:pStyle w:val="2"/>
        <w:rPr>
          <w:rFonts w:hint="eastAsia" w:ascii="宋体" w:hAnsi="宋体" w:eastAsia="宋体" w:cs="宋体"/>
          <w:color w:val="auto"/>
          <w:szCs w:val="21"/>
          <w:highlight w:val="none"/>
          <w:u w:val="single"/>
        </w:rPr>
      </w:pPr>
    </w:p>
    <w:p w14:paraId="1D9C7F75">
      <w:pPr>
        <w:pStyle w:val="3"/>
        <w:rPr>
          <w:rFonts w:hint="eastAsia" w:ascii="宋体" w:hAnsi="宋体" w:eastAsia="宋体" w:cs="宋体"/>
          <w:color w:val="auto"/>
          <w:szCs w:val="21"/>
          <w:highlight w:val="none"/>
          <w:u w:val="single"/>
        </w:rPr>
      </w:pPr>
    </w:p>
    <w:p w14:paraId="245E13CA">
      <w:pPr>
        <w:pStyle w:val="4"/>
        <w:rPr>
          <w:rFonts w:hint="eastAsia" w:ascii="宋体" w:hAnsi="宋体" w:eastAsia="宋体" w:cs="宋体"/>
          <w:color w:val="auto"/>
          <w:szCs w:val="21"/>
          <w:highlight w:val="none"/>
          <w:u w:val="single"/>
        </w:rPr>
      </w:pPr>
    </w:p>
    <w:p w14:paraId="4D98C392">
      <w:pPr>
        <w:rPr>
          <w:rFonts w:hint="eastAsia" w:ascii="宋体" w:hAnsi="宋体" w:eastAsia="宋体" w:cs="宋体"/>
          <w:color w:val="auto"/>
          <w:szCs w:val="21"/>
          <w:highlight w:val="none"/>
          <w:u w:val="single"/>
        </w:rPr>
      </w:pPr>
    </w:p>
    <w:p w14:paraId="43AA3344">
      <w:pPr>
        <w:pStyle w:val="2"/>
        <w:rPr>
          <w:rFonts w:hint="eastAsia" w:ascii="宋体" w:hAnsi="宋体" w:eastAsia="宋体" w:cs="宋体"/>
          <w:color w:val="auto"/>
          <w:szCs w:val="21"/>
          <w:highlight w:val="none"/>
          <w:u w:val="single"/>
        </w:rPr>
      </w:pPr>
    </w:p>
    <w:p w14:paraId="323A0CB7">
      <w:pPr>
        <w:pStyle w:val="3"/>
        <w:rPr>
          <w:rFonts w:hint="eastAsia" w:ascii="宋体" w:hAnsi="宋体" w:eastAsia="宋体" w:cs="宋体"/>
          <w:color w:val="auto"/>
          <w:szCs w:val="21"/>
          <w:highlight w:val="none"/>
          <w:u w:val="single"/>
        </w:rPr>
      </w:pPr>
    </w:p>
    <w:p w14:paraId="33E62CAE">
      <w:pPr>
        <w:pStyle w:val="4"/>
        <w:rPr>
          <w:rFonts w:hint="eastAsia" w:ascii="宋体" w:hAnsi="宋体" w:eastAsia="宋体" w:cs="宋体"/>
          <w:color w:val="auto"/>
          <w:szCs w:val="21"/>
          <w:highlight w:val="none"/>
          <w:u w:val="single"/>
        </w:rPr>
      </w:pPr>
    </w:p>
    <w:p w14:paraId="1EF51488">
      <w:pPr>
        <w:rPr>
          <w:rFonts w:hint="eastAsia" w:ascii="宋体" w:hAnsi="宋体" w:eastAsia="宋体" w:cs="宋体"/>
          <w:color w:val="auto"/>
          <w:szCs w:val="21"/>
          <w:highlight w:val="none"/>
          <w:u w:val="single"/>
        </w:rPr>
      </w:pPr>
    </w:p>
    <w:p w14:paraId="78AE15CF">
      <w:pPr>
        <w:pStyle w:val="2"/>
        <w:rPr>
          <w:rFonts w:hint="eastAsia" w:ascii="宋体" w:hAnsi="宋体" w:eastAsia="宋体" w:cs="宋体"/>
          <w:color w:val="auto"/>
          <w:szCs w:val="21"/>
          <w:highlight w:val="none"/>
          <w:u w:val="single"/>
        </w:rPr>
      </w:pPr>
    </w:p>
    <w:p w14:paraId="4EA86DBC">
      <w:pPr>
        <w:pStyle w:val="3"/>
        <w:rPr>
          <w:rFonts w:hint="eastAsia" w:ascii="宋体" w:hAnsi="宋体" w:eastAsia="宋体" w:cs="宋体"/>
          <w:color w:val="auto"/>
          <w:szCs w:val="21"/>
          <w:highlight w:val="none"/>
          <w:u w:val="single"/>
        </w:rPr>
      </w:pPr>
    </w:p>
    <w:p w14:paraId="0653A454">
      <w:pPr>
        <w:pStyle w:val="4"/>
        <w:rPr>
          <w:rFonts w:hint="eastAsia" w:ascii="宋体" w:hAnsi="宋体" w:eastAsia="宋体" w:cs="宋体"/>
          <w:color w:val="auto"/>
          <w:szCs w:val="21"/>
          <w:highlight w:val="none"/>
          <w:u w:val="single"/>
        </w:rPr>
      </w:pPr>
    </w:p>
    <w:p w14:paraId="0FFB5FD3">
      <w:pPr>
        <w:rPr>
          <w:rFonts w:hint="eastAsia" w:ascii="宋体" w:hAnsi="宋体" w:eastAsia="宋体" w:cs="宋体"/>
          <w:color w:val="auto"/>
          <w:szCs w:val="21"/>
          <w:highlight w:val="none"/>
          <w:u w:val="single"/>
        </w:rPr>
      </w:pPr>
    </w:p>
    <w:p w14:paraId="712E1C80">
      <w:pPr>
        <w:pStyle w:val="2"/>
        <w:rPr>
          <w:rFonts w:hint="eastAsia" w:ascii="宋体" w:hAnsi="宋体" w:eastAsia="宋体" w:cs="宋体"/>
          <w:color w:val="auto"/>
          <w:szCs w:val="21"/>
          <w:highlight w:val="none"/>
          <w:u w:val="single"/>
        </w:rPr>
      </w:pPr>
    </w:p>
    <w:p w14:paraId="5129445D">
      <w:pPr>
        <w:pStyle w:val="3"/>
        <w:rPr>
          <w:rFonts w:hint="eastAsia"/>
          <w:color w:val="auto"/>
        </w:rPr>
      </w:pPr>
    </w:p>
    <w:p w14:paraId="00905C0F">
      <w:pPr>
        <w:pStyle w:val="5"/>
        <w:spacing w:before="312" w:after="312"/>
        <w:rPr>
          <w:rFonts w:ascii="Times New Roman" w:hAnsi="Times New Roman" w:eastAsia="宋体" w:cs="Times New Roman"/>
          <w:color w:val="auto"/>
        </w:rPr>
      </w:pPr>
      <w:bookmarkStart w:id="43" w:name="_Toc28730"/>
      <w:r>
        <w:rPr>
          <w:rFonts w:ascii="Times New Roman" w:hAnsi="Times New Roman" w:eastAsia="宋体" w:cs="Times New Roman"/>
          <w:color w:val="auto"/>
        </w:rPr>
        <w:t>供应商须知</w:t>
      </w:r>
      <w:bookmarkEnd w:id="43"/>
    </w:p>
    <w:p w14:paraId="3D285B2E">
      <w:pPr>
        <w:spacing w:line="440" w:lineRule="exact"/>
        <w:jc w:val="center"/>
        <w:outlineLvl w:val="1"/>
        <w:rPr>
          <w:rFonts w:ascii="Times New Roman" w:hAnsi="Times New Roman" w:eastAsia="黑体" w:cs="Times New Roman"/>
          <w:color w:val="auto"/>
          <w:sz w:val="28"/>
          <w:szCs w:val="28"/>
        </w:rPr>
      </w:pPr>
      <w:bookmarkStart w:id="44" w:name="_Toc55466811"/>
      <w:bookmarkStart w:id="45" w:name="_Toc16069"/>
      <w:bookmarkStart w:id="46" w:name="_Toc29381_WPSOffice_Level2"/>
      <w:bookmarkStart w:id="47" w:name="_Toc26656928"/>
      <w:bookmarkStart w:id="48" w:name="_Toc19501"/>
      <w:r>
        <w:rPr>
          <w:rFonts w:ascii="Times New Roman" w:hAnsi="Times New Roman" w:eastAsia="黑体" w:cs="Times New Roman"/>
          <w:color w:val="auto"/>
          <w:sz w:val="28"/>
          <w:szCs w:val="28"/>
        </w:rPr>
        <w:t>供应商须知前附表</w:t>
      </w:r>
      <w:bookmarkEnd w:id="44"/>
      <w:bookmarkEnd w:id="45"/>
      <w:bookmarkEnd w:id="46"/>
      <w:bookmarkEnd w:id="47"/>
      <w:bookmarkEnd w:id="48"/>
    </w:p>
    <w:tbl>
      <w:tblPr>
        <w:tblStyle w:val="20"/>
        <w:tblW w:w="9181" w:type="dxa"/>
        <w:tblInd w:w="0" w:type="dxa"/>
        <w:tblLayout w:type="fixed"/>
        <w:tblCellMar>
          <w:top w:w="0" w:type="dxa"/>
          <w:left w:w="108" w:type="dxa"/>
          <w:bottom w:w="0" w:type="dxa"/>
          <w:right w:w="108" w:type="dxa"/>
        </w:tblCellMar>
      </w:tblPr>
      <w:tblGrid>
        <w:gridCol w:w="1000"/>
        <w:gridCol w:w="2572"/>
        <w:gridCol w:w="5609"/>
      </w:tblGrid>
      <w:tr w14:paraId="75466201">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503EC23C">
            <w:pPr>
              <w:spacing w:before="156" w:beforeLines="50" w:after="156" w:afterLines="50" w:line="480" w:lineRule="exact"/>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条款号</w:t>
            </w:r>
          </w:p>
        </w:tc>
        <w:tc>
          <w:tcPr>
            <w:tcW w:w="2572" w:type="dxa"/>
            <w:tcBorders>
              <w:top w:val="single" w:color="auto" w:sz="4" w:space="0"/>
              <w:left w:val="single" w:color="auto" w:sz="4" w:space="0"/>
              <w:bottom w:val="single" w:color="auto" w:sz="4" w:space="0"/>
              <w:right w:val="single" w:color="auto" w:sz="4" w:space="0"/>
            </w:tcBorders>
            <w:vAlign w:val="center"/>
          </w:tcPr>
          <w:p w14:paraId="12AE6AE4">
            <w:pPr>
              <w:spacing w:before="156" w:beforeLines="50" w:after="156" w:afterLines="50" w:line="480" w:lineRule="exact"/>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条  款  名  称</w:t>
            </w:r>
          </w:p>
        </w:tc>
        <w:tc>
          <w:tcPr>
            <w:tcW w:w="5609" w:type="dxa"/>
            <w:tcBorders>
              <w:top w:val="single" w:color="auto" w:sz="4" w:space="0"/>
              <w:left w:val="single" w:color="auto" w:sz="4" w:space="0"/>
              <w:bottom w:val="single" w:color="auto" w:sz="4" w:space="0"/>
              <w:right w:val="single" w:color="auto" w:sz="4" w:space="0"/>
            </w:tcBorders>
            <w:vAlign w:val="center"/>
          </w:tcPr>
          <w:p w14:paraId="4847604E">
            <w:pPr>
              <w:spacing w:before="156" w:beforeLines="50" w:after="156" w:afterLines="50" w:line="480" w:lineRule="exact"/>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编  列  内  容</w:t>
            </w:r>
          </w:p>
        </w:tc>
      </w:tr>
      <w:tr w14:paraId="6373CF1B">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282AC01E">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1.</w:t>
            </w:r>
            <w:r>
              <w:rPr>
                <w:rFonts w:hint="eastAsia" w:ascii="Times New Roman" w:hAnsi="Times New Roman" w:eastAsia="宋体" w:cs="Times New Roman"/>
                <w:color w:val="auto"/>
                <w:szCs w:val="21"/>
              </w:rPr>
              <w:t>1</w:t>
            </w:r>
          </w:p>
        </w:tc>
        <w:tc>
          <w:tcPr>
            <w:tcW w:w="2572" w:type="dxa"/>
            <w:tcBorders>
              <w:top w:val="single" w:color="auto" w:sz="4" w:space="0"/>
              <w:left w:val="single" w:color="auto" w:sz="4" w:space="0"/>
              <w:bottom w:val="single" w:color="auto" w:sz="4" w:space="0"/>
              <w:right w:val="single" w:color="auto" w:sz="4" w:space="0"/>
            </w:tcBorders>
            <w:vAlign w:val="center"/>
          </w:tcPr>
          <w:p w14:paraId="0B190D34">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质量要求</w:t>
            </w:r>
          </w:p>
        </w:tc>
        <w:tc>
          <w:tcPr>
            <w:tcW w:w="5609" w:type="dxa"/>
            <w:tcBorders>
              <w:top w:val="single" w:color="auto" w:sz="4" w:space="0"/>
              <w:left w:val="single" w:color="auto" w:sz="4" w:space="0"/>
              <w:bottom w:val="single" w:color="auto" w:sz="4" w:space="0"/>
              <w:right w:val="single" w:color="auto" w:sz="4" w:space="0"/>
            </w:tcBorders>
            <w:vAlign w:val="center"/>
          </w:tcPr>
          <w:p w14:paraId="5B1C303F">
            <w:pPr>
              <w:widowControl/>
              <w:spacing w:line="480" w:lineRule="exact"/>
              <w:jc w:val="left"/>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满足国家最新颁布的质量技术标准和本项目的特殊要求。</w:t>
            </w:r>
          </w:p>
        </w:tc>
      </w:tr>
      <w:tr w14:paraId="11184ADD">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6CDD2010">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1.2.2</w:t>
            </w:r>
          </w:p>
        </w:tc>
        <w:tc>
          <w:tcPr>
            <w:tcW w:w="2572" w:type="dxa"/>
            <w:tcBorders>
              <w:top w:val="single" w:color="auto" w:sz="4" w:space="0"/>
              <w:left w:val="single" w:color="auto" w:sz="4" w:space="0"/>
              <w:bottom w:val="single" w:color="auto" w:sz="4" w:space="0"/>
              <w:right w:val="single" w:color="auto" w:sz="4" w:space="0"/>
            </w:tcBorders>
            <w:vAlign w:val="center"/>
          </w:tcPr>
          <w:p w14:paraId="7A23FD2C">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供应商其他资格要求</w:t>
            </w:r>
          </w:p>
        </w:tc>
        <w:tc>
          <w:tcPr>
            <w:tcW w:w="5609" w:type="dxa"/>
            <w:tcBorders>
              <w:top w:val="single" w:color="auto" w:sz="4" w:space="0"/>
              <w:left w:val="single" w:color="auto" w:sz="4" w:space="0"/>
              <w:bottom w:val="single" w:color="auto" w:sz="4" w:space="0"/>
              <w:right w:val="single" w:color="auto" w:sz="4" w:space="0"/>
            </w:tcBorders>
            <w:vAlign w:val="center"/>
          </w:tcPr>
          <w:p w14:paraId="51B46876">
            <w:pPr>
              <w:widowControl/>
              <w:spacing w:line="480" w:lineRule="exact"/>
              <w:jc w:val="left"/>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见第一章 采购公告要求。</w:t>
            </w:r>
          </w:p>
        </w:tc>
      </w:tr>
      <w:tr w14:paraId="45C8BE14">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6BFCCB83">
            <w:pPr>
              <w:spacing w:line="480" w:lineRule="exac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rPr>
              <w:t>1.2.</w:t>
            </w:r>
            <w:r>
              <w:rPr>
                <w:rFonts w:hint="eastAsia" w:ascii="Times New Roman" w:hAnsi="Times New Roman" w:eastAsia="宋体" w:cs="Times New Roman"/>
                <w:color w:val="auto"/>
                <w:szCs w:val="21"/>
                <w:lang w:val="en-US" w:eastAsia="zh-CN"/>
              </w:rPr>
              <w:t>1</w:t>
            </w:r>
          </w:p>
        </w:tc>
        <w:tc>
          <w:tcPr>
            <w:tcW w:w="2572" w:type="dxa"/>
            <w:tcBorders>
              <w:top w:val="single" w:color="auto" w:sz="4" w:space="0"/>
              <w:left w:val="single" w:color="auto" w:sz="4" w:space="0"/>
              <w:bottom w:val="single" w:color="auto" w:sz="4" w:space="0"/>
              <w:right w:val="single" w:color="auto" w:sz="4" w:space="0"/>
            </w:tcBorders>
            <w:vAlign w:val="center"/>
          </w:tcPr>
          <w:p w14:paraId="5C184884">
            <w:pPr>
              <w:ind w:left="105" w:leftChars="50"/>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供应商资质条件、能力、信誉</w:t>
            </w:r>
          </w:p>
        </w:tc>
        <w:tc>
          <w:tcPr>
            <w:tcW w:w="5609" w:type="dxa"/>
            <w:tcBorders>
              <w:top w:val="single" w:color="auto" w:sz="4" w:space="0"/>
              <w:left w:val="single" w:color="auto" w:sz="4" w:space="0"/>
              <w:bottom w:val="single" w:color="auto" w:sz="4" w:space="0"/>
              <w:right w:val="single" w:color="auto" w:sz="4" w:space="0"/>
            </w:tcBorders>
            <w:vAlign w:val="center"/>
          </w:tcPr>
          <w:p w14:paraId="2AA2C765">
            <w:pPr>
              <w:widowControl/>
              <w:spacing w:line="480" w:lineRule="exact"/>
              <w:jc w:val="left"/>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资质条件：见附录1</w:t>
            </w:r>
          </w:p>
          <w:p w14:paraId="41C8468E">
            <w:pPr>
              <w:widowControl/>
              <w:spacing w:line="480" w:lineRule="exact"/>
              <w:jc w:val="left"/>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业绩要求：见附录2</w:t>
            </w:r>
          </w:p>
          <w:p w14:paraId="3B479FC3">
            <w:pPr>
              <w:widowControl/>
              <w:spacing w:line="480" w:lineRule="exact"/>
              <w:jc w:val="left"/>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信誉要求：见附录3</w:t>
            </w:r>
          </w:p>
        </w:tc>
      </w:tr>
      <w:tr w14:paraId="1C1AC285">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4130CE9F">
            <w:pPr>
              <w:spacing w:line="480" w:lineRule="exac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rPr>
              <w:t>1.2.</w:t>
            </w:r>
            <w:r>
              <w:rPr>
                <w:rFonts w:hint="eastAsia" w:ascii="Times New Roman" w:hAnsi="Times New Roman" w:eastAsia="宋体" w:cs="Times New Roman"/>
                <w:color w:val="auto"/>
                <w:szCs w:val="21"/>
                <w:lang w:val="en-US" w:eastAsia="zh-CN"/>
              </w:rPr>
              <w:t>3</w:t>
            </w:r>
          </w:p>
        </w:tc>
        <w:tc>
          <w:tcPr>
            <w:tcW w:w="2572" w:type="dxa"/>
            <w:tcBorders>
              <w:top w:val="single" w:color="auto" w:sz="4" w:space="0"/>
              <w:left w:val="single" w:color="auto" w:sz="4" w:space="0"/>
              <w:bottom w:val="single" w:color="auto" w:sz="4" w:space="0"/>
              <w:right w:val="single" w:color="auto" w:sz="4" w:space="0"/>
            </w:tcBorders>
            <w:vAlign w:val="center"/>
          </w:tcPr>
          <w:p w14:paraId="08737CF0">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rPr>
              <w:t>是否接受联合体</w:t>
            </w:r>
            <w:r>
              <w:rPr>
                <w:rFonts w:hint="eastAsia" w:ascii="Times New Roman" w:hAnsi="Times New Roman" w:eastAsia="宋体" w:cs="Times New Roman"/>
                <w:color w:val="auto"/>
                <w:szCs w:val="21"/>
                <w:lang w:val="en-US" w:eastAsia="zh-CN"/>
              </w:rPr>
              <w:t>响应</w:t>
            </w:r>
          </w:p>
        </w:tc>
        <w:tc>
          <w:tcPr>
            <w:tcW w:w="5609" w:type="dxa"/>
            <w:tcBorders>
              <w:top w:val="single" w:color="auto" w:sz="4" w:space="0"/>
              <w:left w:val="single" w:color="auto" w:sz="4" w:space="0"/>
              <w:bottom w:val="single" w:color="auto" w:sz="4" w:space="0"/>
              <w:right w:val="single" w:color="auto" w:sz="4" w:space="0"/>
            </w:tcBorders>
            <w:vAlign w:val="center"/>
          </w:tcPr>
          <w:p w14:paraId="518CA820">
            <w:pPr>
              <w:ind w:left="42" w:leftChars="20" w:right="42" w:rightChars="20"/>
              <w:rPr>
                <w:rFonts w:ascii="Times New Roman" w:hAnsi="Times New Roman" w:eastAsia="宋体" w:cs="Times New Roman"/>
                <w:color w:val="auto"/>
                <w:kern w:val="0"/>
                <w:szCs w:val="21"/>
              </w:rPr>
            </w:pPr>
            <w:r>
              <w:rPr>
                <w:rFonts w:hint="eastAsia" w:ascii="Times New Roman" w:hAnsi="Times New Roman" w:eastAsia="宋体" w:cs="Times New Roman"/>
                <w:color w:val="auto"/>
                <w:szCs w:val="21"/>
              </w:rPr>
              <w:t>不接受</w:t>
            </w:r>
          </w:p>
        </w:tc>
      </w:tr>
      <w:tr w14:paraId="26D3348A">
        <w:tblPrEx>
          <w:tblCellMar>
            <w:top w:w="0" w:type="dxa"/>
            <w:left w:w="108" w:type="dxa"/>
            <w:bottom w:w="0" w:type="dxa"/>
            <w:right w:w="108" w:type="dxa"/>
          </w:tblCellMar>
        </w:tblPrEx>
        <w:trPr>
          <w:trHeight w:val="572" w:hRule="atLeast"/>
        </w:trPr>
        <w:tc>
          <w:tcPr>
            <w:tcW w:w="1000" w:type="dxa"/>
            <w:tcBorders>
              <w:top w:val="single" w:color="auto" w:sz="4" w:space="0"/>
              <w:left w:val="single" w:color="auto" w:sz="4" w:space="0"/>
              <w:bottom w:val="single" w:color="auto" w:sz="4" w:space="0"/>
              <w:right w:val="single" w:color="auto" w:sz="4" w:space="0"/>
            </w:tcBorders>
            <w:vAlign w:val="center"/>
          </w:tcPr>
          <w:p w14:paraId="49A53B90">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3.1</w:t>
            </w:r>
          </w:p>
        </w:tc>
        <w:tc>
          <w:tcPr>
            <w:tcW w:w="2572" w:type="dxa"/>
            <w:tcBorders>
              <w:top w:val="single" w:color="auto" w:sz="4" w:space="0"/>
              <w:left w:val="single" w:color="auto" w:sz="4" w:space="0"/>
              <w:bottom w:val="single" w:color="auto" w:sz="4" w:space="0"/>
              <w:right w:val="single" w:color="auto" w:sz="4" w:space="0"/>
            </w:tcBorders>
            <w:vAlign w:val="center"/>
          </w:tcPr>
          <w:p w14:paraId="62EAD595">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响应文件其他材料要求</w:t>
            </w:r>
          </w:p>
        </w:tc>
        <w:tc>
          <w:tcPr>
            <w:tcW w:w="5609" w:type="dxa"/>
            <w:tcBorders>
              <w:top w:val="single" w:color="auto" w:sz="4" w:space="0"/>
              <w:left w:val="single" w:color="auto" w:sz="4" w:space="0"/>
              <w:bottom w:val="single" w:color="auto" w:sz="4" w:space="0"/>
              <w:right w:val="single" w:color="auto" w:sz="4" w:space="0"/>
            </w:tcBorders>
            <w:vAlign w:val="center"/>
          </w:tcPr>
          <w:p w14:paraId="66109FE6">
            <w:pPr>
              <w:widowControl/>
              <w:spacing w:line="480" w:lineRule="exact"/>
              <w:jc w:val="left"/>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无</w:t>
            </w:r>
          </w:p>
        </w:tc>
      </w:tr>
      <w:tr w14:paraId="26C42160">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0F9360E3">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3.2.</w:t>
            </w:r>
            <w:r>
              <w:rPr>
                <w:rFonts w:hint="eastAsia" w:ascii="Times New Roman" w:hAnsi="Times New Roman" w:eastAsia="宋体" w:cs="Times New Roman"/>
                <w:color w:val="auto"/>
                <w:szCs w:val="21"/>
              </w:rPr>
              <w:t>4</w:t>
            </w:r>
          </w:p>
        </w:tc>
        <w:tc>
          <w:tcPr>
            <w:tcW w:w="2572" w:type="dxa"/>
            <w:tcBorders>
              <w:top w:val="single" w:color="auto" w:sz="4" w:space="0"/>
              <w:left w:val="single" w:color="auto" w:sz="4" w:space="0"/>
              <w:bottom w:val="single" w:color="auto" w:sz="4" w:space="0"/>
              <w:right w:val="single" w:color="auto" w:sz="4" w:space="0"/>
            </w:tcBorders>
            <w:vAlign w:val="center"/>
          </w:tcPr>
          <w:p w14:paraId="23F89445">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报价方式</w:t>
            </w:r>
          </w:p>
        </w:tc>
        <w:tc>
          <w:tcPr>
            <w:tcW w:w="5609" w:type="dxa"/>
            <w:tcBorders>
              <w:top w:val="single" w:color="auto" w:sz="4" w:space="0"/>
              <w:left w:val="single" w:color="auto" w:sz="4" w:space="0"/>
              <w:bottom w:val="single" w:color="auto" w:sz="4" w:space="0"/>
              <w:right w:val="single" w:color="auto" w:sz="4" w:space="0"/>
            </w:tcBorders>
            <w:vAlign w:val="center"/>
          </w:tcPr>
          <w:p w14:paraId="125CF090">
            <w:pPr>
              <w:spacing w:line="480" w:lineRule="exact"/>
              <w:rPr>
                <w:rFonts w:ascii="Times New Roman" w:hAnsi="Times New Roman" w:eastAsia="宋体" w:cs="Times New Roman"/>
                <w:color w:val="auto"/>
                <w:szCs w:val="21"/>
              </w:rPr>
            </w:pPr>
            <w:r>
              <w:rPr>
                <w:rFonts w:hint="eastAsia"/>
                <w:color w:val="auto"/>
              </w:rPr>
              <w:t>☑</w:t>
            </w:r>
            <w:r>
              <w:rPr>
                <w:rFonts w:hint="eastAsia" w:ascii="Times New Roman" w:hAnsi="Times New Roman" w:eastAsia="宋体" w:cs="Times New Roman"/>
                <w:color w:val="auto"/>
                <w:szCs w:val="21"/>
              </w:rPr>
              <w:t>固定</w:t>
            </w:r>
            <w:r>
              <w:rPr>
                <w:rFonts w:ascii="Times New Roman" w:hAnsi="Times New Roman" w:eastAsia="宋体" w:cs="Times New Roman"/>
                <w:color w:val="auto"/>
                <w:szCs w:val="21"/>
              </w:rPr>
              <w:t>单价</w:t>
            </w:r>
          </w:p>
          <w:p w14:paraId="12858175">
            <w:pPr>
              <w:spacing w:line="480" w:lineRule="exact"/>
              <w:rPr>
                <w:rFonts w:ascii="Times New Roman" w:hAnsi="Times New Roman" w:eastAsia="宋体" w:cs="Times New Roman"/>
                <w:color w:val="auto"/>
                <w:szCs w:val="21"/>
              </w:rPr>
            </w:pPr>
            <w:r>
              <w:rPr>
                <w:rFonts w:hint="eastAsia"/>
                <w:color w:val="auto"/>
              </w:rPr>
              <w:t>□</w:t>
            </w:r>
            <w:r>
              <w:rPr>
                <w:rFonts w:hint="eastAsia" w:ascii="Times New Roman" w:hAnsi="Times New Roman" w:eastAsia="宋体" w:cs="Times New Roman"/>
                <w:color w:val="auto"/>
                <w:szCs w:val="21"/>
              </w:rPr>
              <w:t>固定</w:t>
            </w:r>
            <w:r>
              <w:rPr>
                <w:rFonts w:ascii="Times New Roman" w:hAnsi="Times New Roman" w:eastAsia="宋体" w:cs="Times New Roman"/>
                <w:color w:val="auto"/>
                <w:szCs w:val="21"/>
              </w:rPr>
              <w:t>总价</w:t>
            </w:r>
          </w:p>
        </w:tc>
      </w:tr>
      <w:tr w14:paraId="37B7E9F2">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4D41185F">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3.2.</w:t>
            </w:r>
            <w:r>
              <w:rPr>
                <w:rFonts w:hint="eastAsia" w:ascii="Times New Roman" w:hAnsi="Times New Roman" w:eastAsia="宋体" w:cs="Times New Roman"/>
                <w:color w:val="auto"/>
                <w:szCs w:val="21"/>
              </w:rPr>
              <w:t>5</w:t>
            </w:r>
          </w:p>
        </w:tc>
        <w:tc>
          <w:tcPr>
            <w:tcW w:w="2572" w:type="dxa"/>
            <w:tcBorders>
              <w:top w:val="single" w:color="auto" w:sz="4" w:space="0"/>
              <w:left w:val="single" w:color="auto" w:sz="4" w:space="0"/>
              <w:bottom w:val="single" w:color="auto" w:sz="4" w:space="0"/>
              <w:right w:val="single" w:color="auto" w:sz="4" w:space="0"/>
            </w:tcBorders>
            <w:vAlign w:val="center"/>
          </w:tcPr>
          <w:p w14:paraId="5550CCB4">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报价的其他要求</w:t>
            </w:r>
          </w:p>
        </w:tc>
        <w:tc>
          <w:tcPr>
            <w:tcW w:w="5609" w:type="dxa"/>
            <w:tcBorders>
              <w:top w:val="single" w:color="auto" w:sz="4" w:space="0"/>
              <w:left w:val="single" w:color="auto" w:sz="4" w:space="0"/>
              <w:bottom w:val="single" w:color="auto" w:sz="4" w:space="0"/>
              <w:right w:val="single" w:color="auto" w:sz="4" w:space="0"/>
            </w:tcBorders>
            <w:vAlign w:val="center"/>
          </w:tcPr>
          <w:p w14:paraId="17C9E737">
            <w:pPr>
              <w:spacing w:line="480" w:lineRule="exact"/>
              <w:rPr>
                <w:rFonts w:ascii="Times New Roman" w:hAnsi="Times New Roman" w:eastAsia="宋体" w:cs="Times New Roman"/>
                <w:color w:val="auto"/>
                <w:szCs w:val="21"/>
              </w:rPr>
            </w:pPr>
            <w:r>
              <w:rPr>
                <w:rFonts w:hint="eastAsia" w:ascii="Times New Roman" w:hAnsi="Times New Roman" w:eastAsia="宋体" w:cs="Times New Roman"/>
                <w:color w:val="auto"/>
                <w:szCs w:val="21"/>
              </w:rPr>
              <w:t>无</w:t>
            </w:r>
          </w:p>
        </w:tc>
      </w:tr>
      <w:tr w14:paraId="6792FFC6">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2596AEE6">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3.4.4</w:t>
            </w:r>
            <w:r>
              <w:rPr>
                <w:rFonts w:hint="eastAsia" w:ascii="Times New Roman" w:hAnsi="Times New Roman" w:eastAsia="宋体" w:cs="Times New Roman"/>
                <w:color w:val="auto"/>
                <w:szCs w:val="21"/>
              </w:rPr>
              <w:t>（3）</w:t>
            </w:r>
          </w:p>
        </w:tc>
        <w:tc>
          <w:tcPr>
            <w:tcW w:w="2572" w:type="dxa"/>
            <w:tcBorders>
              <w:top w:val="single" w:color="auto" w:sz="4" w:space="0"/>
              <w:left w:val="single" w:color="auto" w:sz="4" w:space="0"/>
              <w:bottom w:val="single" w:color="auto" w:sz="4" w:space="0"/>
              <w:right w:val="single" w:color="auto" w:sz="4" w:space="0"/>
            </w:tcBorders>
            <w:vAlign w:val="center"/>
          </w:tcPr>
          <w:p w14:paraId="20C07A0F">
            <w:pPr>
              <w:spacing w:line="480" w:lineRule="exact"/>
              <w:jc w:val="center"/>
              <w:rPr>
                <w:rFonts w:ascii="Times New Roman" w:hAnsi="Times New Roman" w:eastAsia="宋体" w:cs="Times New Roman"/>
                <w:color w:val="auto"/>
                <w:szCs w:val="21"/>
              </w:rPr>
            </w:pPr>
            <w:r>
              <w:rPr>
                <w:rFonts w:ascii="Times New Roman" w:hAnsi="Times New Roman" w:cs="Times New Roman"/>
                <w:color w:val="auto"/>
              </w:rPr>
              <w:t>其他不予退还响应保证金的情形</w:t>
            </w:r>
          </w:p>
        </w:tc>
        <w:tc>
          <w:tcPr>
            <w:tcW w:w="5609" w:type="dxa"/>
            <w:tcBorders>
              <w:top w:val="single" w:color="auto" w:sz="4" w:space="0"/>
              <w:left w:val="single" w:color="auto" w:sz="4" w:space="0"/>
              <w:bottom w:val="single" w:color="auto" w:sz="4" w:space="0"/>
              <w:right w:val="single" w:color="auto" w:sz="4" w:space="0"/>
            </w:tcBorders>
            <w:vAlign w:val="center"/>
          </w:tcPr>
          <w:p w14:paraId="13175663">
            <w:pPr>
              <w:pStyle w:val="2"/>
              <w:spacing w:after="0" w:line="440" w:lineRule="exact"/>
              <w:rPr>
                <w:rFonts w:hint="eastAsia" w:ascii="宋体" w:hAnsi="宋体" w:eastAsia="宋体" w:cs="宋体"/>
                <w:color w:val="auto"/>
                <w:szCs w:val="21"/>
              </w:rPr>
            </w:pPr>
            <w:r>
              <w:rPr>
                <w:rFonts w:hint="eastAsia" w:ascii="宋体" w:hAnsi="宋体" w:eastAsia="宋体" w:cs="宋体"/>
                <w:color w:val="auto"/>
                <w:sz w:val="22"/>
                <w:szCs w:val="22"/>
              </w:rPr>
              <w:t>报</w:t>
            </w:r>
            <w:r>
              <w:rPr>
                <w:rFonts w:hint="eastAsia" w:ascii="宋体" w:hAnsi="宋体" w:eastAsia="宋体" w:cs="宋体"/>
                <w:color w:val="auto"/>
                <w:szCs w:val="21"/>
              </w:rPr>
              <w:t>价方出现以下情形的，其询价响应保证金将不予退还：</w:t>
            </w:r>
          </w:p>
          <w:p w14:paraId="0159CBA4">
            <w:pPr>
              <w:pStyle w:val="2"/>
              <w:spacing w:after="0" w:line="440" w:lineRule="exact"/>
              <w:rPr>
                <w:rFonts w:hint="eastAsia" w:ascii="宋体" w:hAnsi="宋体" w:eastAsia="宋体" w:cs="宋体"/>
                <w:color w:val="auto"/>
                <w:szCs w:val="21"/>
              </w:rPr>
            </w:pPr>
            <w:r>
              <w:rPr>
                <w:rFonts w:ascii="Times New Roman" w:hAnsi="Times New Roman" w:eastAsia="宋体" w:cs="Times New Roman"/>
                <w:color w:val="auto"/>
                <w:szCs w:val="21"/>
              </w:rPr>
              <w:t>（1）</w:t>
            </w:r>
            <w:r>
              <w:rPr>
                <w:rFonts w:hint="eastAsia" w:ascii="宋体" w:hAnsi="宋体" w:eastAsia="宋体" w:cs="宋体"/>
                <w:color w:val="auto"/>
                <w:szCs w:val="21"/>
              </w:rPr>
              <w:t>报价方在规定的响应有效期内撤销其响应文件。</w:t>
            </w:r>
          </w:p>
          <w:p w14:paraId="6CE6047A">
            <w:pPr>
              <w:pStyle w:val="2"/>
              <w:spacing w:after="0" w:line="440" w:lineRule="exact"/>
              <w:rPr>
                <w:rFonts w:hint="eastAsia" w:ascii="宋体" w:hAnsi="宋体" w:eastAsia="宋体" w:cs="宋体"/>
                <w:color w:val="auto"/>
                <w:szCs w:val="21"/>
              </w:rPr>
            </w:pPr>
            <w:r>
              <w:rPr>
                <w:rFonts w:ascii="Times New Roman" w:hAnsi="Times New Roman" w:eastAsia="宋体" w:cs="Times New Roman"/>
                <w:color w:val="auto"/>
                <w:szCs w:val="21"/>
              </w:rPr>
              <w:t>（2）</w:t>
            </w:r>
            <w:r>
              <w:rPr>
                <w:rFonts w:hint="eastAsia" w:ascii="宋体" w:hAnsi="宋体" w:eastAsia="宋体" w:cs="宋体"/>
                <w:color w:val="auto"/>
                <w:szCs w:val="21"/>
              </w:rPr>
              <w:t>成交候选方无正当理由放弃成交资格的；或成交方无正当理由不与采购人签订合同的；或成交方在签订合同时向采购方提出附加条件或者更改合同实质性内容的；询价响应保证金按违约予以全额扣除。</w:t>
            </w:r>
          </w:p>
          <w:p w14:paraId="4F46BB79">
            <w:pPr>
              <w:pStyle w:val="2"/>
              <w:spacing w:after="0" w:line="440" w:lineRule="exact"/>
              <w:rPr>
                <w:rFonts w:ascii="Times New Roman" w:hAnsi="Times New Roman" w:eastAsia="宋体" w:cs="Times New Roman"/>
                <w:color w:val="auto"/>
                <w:szCs w:val="21"/>
              </w:rPr>
            </w:pPr>
            <w:r>
              <w:rPr>
                <w:rFonts w:ascii="Times New Roman" w:hAnsi="Times New Roman" w:eastAsia="宋体" w:cs="Times New Roman"/>
                <w:color w:val="auto"/>
                <w:szCs w:val="21"/>
              </w:rPr>
              <w:t>（3）</w:t>
            </w:r>
            <w:r>
              <w:rPr>
                <w:rFonts w:hint="eastAsia" w:ascii="宋体" w:hAnsi="宋体" w:eastAsia="宋体" w:cs="宋体"/>
                <w:color w:val="auto"/>
                <w:szCs w:val="21"/>
              </w:rPr>
              <w:t>供应商存在以他人名义报价、与他人串通报价、以行贿手段谋取成交、弄虚作假等行为。</w:t>
            </w:r>
          </w:p>
        </w:tc>
      </w:tr>
      <w:tr w14:paraId="6B29A290">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0D6B4193">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3.6.3（2）</w:t>
            </w:r>
          </w:p>
        </w:tc>
        <w:tc>
          <w:tcPr>
            <w:tcW w:w="2572" w:type="dxa"/>
            <w:tcBorders>
              <w:top w:val="single" w:color="auto" w:sz="4" w:space="0"/>
              <w:left w:val="single" w:color="auto" w:sz="4" w:space="0"/>
              <w:bottom w:val="single" w:color="auto" w:sz="4" w:space="0"/>
              <w:right w:val="single" w:color="auto" w:sz="4" w:space="0"/>
            </w:tcBorders>
            <w:vAlign w:val="center"/>
          </w:tcPr>
          <w:p w14:paraId="66BF546E">
            <w:pPr>
              <w:spacing w:line="480" w:lineRule="exact"/>
              <w:jc w:val="center"/>
              <w:rPr>
                <w:rFonts w:ascii="Times New Roman" w:hAnsi="Times New Roman" w:cs="Times New Roman"/>
                <w:color w:val="auto"/>
                <w:highlight w:val="yellow"/>
              </w:rPr>
            </w:pPr>
            <w:r>
              <w:rPr>
                <w:rFonts w:hint="eastAsia" w:ascii="Times New Roman" w:hAnsi="Times New Roman" w:cs="Times New Roman"/>
                <w:color w:val="auto"/>
                <w:highlight w:val="yellow"/>
              </w:rPr>
              <w:t>响应文件份数</w:t>
            </w:r>
          </w:p>
        </w:tc>
        <w:tc>
          <w:tcPr>
            <w:tcW w:w="5609" w:type="dxa"/>
            <w:tcBorders>
              <w:top w:val="single" w:color="auto" w:sz="4" w:space="0"/>
              <w:left w:val="single" w:color="auto" w:sz="4" w:space="0"/>
              <w:bottom w:val="single" w:color="auto" w:sz="4" w:space="0"/>
              <w:right w:val="single" w:color="auto" w:sz="4" w:space="0"/>
            </w:tcBorders>
            <w:vAlign w:val="center"/>
          </w:tcPr>
          <w:p w14:paraId="5516EA5C">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color w:val="auto"/>
                <w:szCs w:val="21"/>
                <w:highlight w:val="yellow"/>
                <w:u w:val="single"/>
              </w:rPr>
            </w:pPr>
            <w:r>
              <w:rPr>
                <w:rFonts w:hint="eastAsia" w:ascii="Times New Roman" w:hAnsi="Times New Roman" w:cs="Times New Roman"/>
                <w:color w:val="auto"/>
                <w:highlight w:val="yellow"/>
              </w:rPr>
              <w:t>响应文件应</w:t>
            </w:r>
            <w:r>
              <w:rPr>
                <w:rFonts w:hint="eastAsia" w:ascii="Times New Roman" w:hAnsi="Times New Roman" w:cs="Times New Roman"/>
                <w:b/>
                <w:bCs/>
                <w:color w:val="auto"/>
                <w:highlight w:val="yellow"/>
              </w:rPr>
              <w:t>胶装成册，</w:t>
            </w:r>
            <w:r>
              <w:rPr>
                <w:rFonts w:ascii="Times New Roman" w:hAnsi="Times New Roman" w:cs="Times New Roman"/>
                <w:color w:val="auto"/>
                <w:highlight w:val="yellow"/>
              </w:rPr>
              <w:t>正</w:t>
            </w:r>
            <w:r>
              <w:rPr>
                <w:rFonts w:hint="eastAsia" w:ascii="Times New Roman" w:hAnsi="Times New Roman" w:cs="Times New Roman"/>
                <w:color w:val="auto"/>
                <w:highlight w:val="yellow"/>
              </w:rPr>
              <w:t>、副本各</w:t>
            </w:r>
            <w:r>
              <w:rPr>
                <w:rFonts w:ascii="Times New Roman" w:hAnsi="Times New Roman" w:cs="Times New Roman"/>
                <w:color w:val="auto"/>
                <w:highlight w:val="yellow"/>
              </w:rPr>
              <w:t>一份。</w:t>
            </w:r>
            <w:r>
              <w:rPr>
                <w:rFonts w:hint="eastAsia" w:ascii="Times New Roman" w:hAnsi="Times New Roman" w:cs="Times New Roman"/>
                <w:color w:val="auto"/>
                <w:highlight w:val="yellow"/>
              </w:rPr>
              <w:t>正副本内容不一致时，以正本为准。</w:t>
            </w:r>
          </w:p>
        </w:tc>
      </w:tr>
      <w:tr w14:paraId="5EA0B9E5">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374E51AB">
            <w:pPr>
              <w:spacing w:line="480" w:lineRule="exact"/>
              <w:jc w:val="center"/>
              <w:rPr>
                <w:rFonts w:ascii="Times New Roman" w:hAnsi="Times New Roman" w:eastAsia="宋体" w:cs="Times New Roman"/>
                <w:color w:val="auto"/>
                <w:szCs w:val="21"/>
              </w:rPr>
            </w:pPr>
            <w:r>
              <w:rPr>
                <w:rFonts w:hint="eastAsia" w:ascii="Times New Roman" w:hAnsi="Times New Roman" w:cs="Times New Roman"/>
                <w:color w:val="auto"/>
              </w:rPr>
              <w:t>4.1</w:t>
            </w:r>
          </w:p>
        </w:tc>
        <w:tc>
          <w:tcPr>
            <w:tcW w:w="2572" w:type="dxa"/>
            <w:tcBorders>
              <w:top w:val="single" w:color="auto" w:sz="4" w:space="0"/>
              <w:left w:val="single" w:color="auto" w:sz="4" w:space="0"/>
              <w:bottom w:val="single" w:color="auto" w:sz="4" w:space="0"/>
              <w:right w:val="single" w:color="auto" w:sz="4" w:space="0"/>
            </w:tcBorders>
            <w:vAlign w:val="center"/>
          </w:tcPr>
          <w:p w14:paraId="529FE19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cs="Times New Roman"/>
                <w:color w:val="auto"/>
                <w:highlight w:val="yellow"/>
              </w:rPr>
            </w:pPr>
            <w:r>
              <w:rPr>
                <w:rFonts w:hint="eastAsia" w:ascii="Times New Roman" w:hAnsi="Times New Roman" w:cs="Times New Roman"/>
                <w:b/>
                <w:bCs/>
                <w:color w:val="auto"/>
                <w:highlight w:val="yellow"/>
              </w:rPr>
              <w:t>响应文件的密封和标记</w:t>
            </w:r>
          </w:p>
        </w:tc>
        <w:tc>
          <w:tcPr>
            <w:tcW w:w="5609" w:type="dxa"/>
            <w:tcBorders>
              <w:top w:val="single" w:color="auto" w:sz="4" w:space="0"/>
              <w:left w:val="single" w:color="auto" w:sz="4" w:space="0"/>
              <w:bottom w:val="single" w:color="auto" w:sz="4" w:space="0"/>
              <w:right w:val="single" w:color="auto" w:sz="4" w:space="0"/>
            </w:tcBorders>
            <w:vAlign w:val="center"/>
          </w:tcPr>
          <w:p w14:paraId="673748A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val="0"/>
                <w:color w:val="auto"/>
                <w:kern w:val="2"/>
                <w:sz w:val="22"/>
                <w:szCs w:val="22"/>
                <w:highlight w:val="yellow"/>
                <w:lang w:val="en-US" w:eastAsia="zh-CN" w:bidi="ar"/>
              </w:rPr>
            </w:pPr>
            <w:r>
              <w:rPr>
                <w:rFonts w:hint="eastAsia" w:ascii="宋体" w:hAnsi="宋体" w:eastAsia="宋体" w:cs="宋体"/>
                <w:b/>
                <w:bCs w:val="0"/>
                <w:color w:val="auto"/>
                <w:kern w:val="2"/>
                <w:sz w:val="22"/>
                <w:szCs w:val="22"/>
                <w:highlight w:val="yellow"/>
                <w:lang w:val="en-US" w:eastAsia="zh-CN" w:bidi="ar"/>
              </w:rPr>
              <w:t>响应文件胶装，封口处须密封并加盖企业公章。</w:t>
            </w:r>
          </w:p>
          <w:p w14:paraId="2AF30E4C">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cs="Times New Roman"/>
                <w:color w:val="auto"/>
                <w:highlight w:val="yellow"/>
              </w:rPr>
            </w:pPr>
            <w:r>
              <w:rPr>
                <w:rFonts w:hint="eastAsia" w:ascii="宋体" w:hAnsi="宋体" w:eastAsia="宋体" w:cs="宋体"/>
                <w:b/>
                <w:bCs w:val="0"/>
                <w:color w:val="auto"/>
                <w:kern w:val="2"/>
                <w:sz w:val="22"/>
                <w:szCs w:val="22"/>
                <w:highlight w:val="yellow"/>
                <w:lang w:val="en-US" w:eastAsia="zh-CN" w:bidi="ar"/>
              </w:rPr>
              <w:t>在响应文件密封袋内需用U盘放报价清单电子版一份（EXCEL版），放盖章版响应文件的扫描件一份（PDF版）；如启封发现上述资料未放齐的，视为形式评审不合格，取消资格。</w:t>
            </w:r>
          </w:p>
        </w:tc>
      </w:tr>
      <w:tr w14:paraId="11106B4D">
        <w:tblPrEx>
          <w:tblCellMar>
            <w:top w:w="0" w:type="dxa"/>
            <w:left w:w="108" w:type="dxa"/>
            <w:bottom w:w="0" w:type="dxa"/>
            <w:right w:w="108" w:type="dxa"/>
          </w:tblCellMar>
        </w:tblPrEx>
        <w:trPr>
          <w:trHeight w:val="653" w:hRule="atLeast"/>
        </w:trPr>
        <w:tc>
          <w:tcPr>
            <w:tcW w:w="1000" w:type="dxa"/>
            <w:tcBorders>
              <w:top w:val="single" w:color="auto" w:sz="4" w:space="0"/>
              <w:left w:val="single" w:color="auto" w:sz="4" w:space="0"/>
              <w:bottom w:val="single" w:color="auto" w:sz="4" w:space="0"/>
              <w:right w:val="single" w:color="auto" w:sz="4" w:space="0"/>
            </w:tcBorders>
            <w:vAlign w:val="center"/>
          </w:tcPr>
          <w:p w14:paraId="57085FCE">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5.2.1（3）</w:t>
            </w:r>
          </w:p>
        </w:tc>
        <w:tc>
          <w:tcPr>
            <w:tcW w:w="2572" w:type="dxa"/>
            <w:tcBorders>
              <w:top w:val="single" w:color="auto" w:sz="4" w:space="0"/>
              <w:left w:val="single" w:color="auto" w:sz="4" w:space="0"/>
              <w:bottom w:val="single" w:color="auto" w:sz="4" w:space="0"/>
              <w:right w:val="single" w:color="auto" w:sz="4" w:space="0"/>
            </w:tcBorders>
            <w:vAlign w:val="center"/>
          </w:tcPr>
          <w:p w14:paraId="775044F7">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启封公布的其他内容</w:t>
            </w:r>
          </w:p>
        </w:tc>
        <w:tc>
          <w:tcPr>
            <w:tcW w:w="5609" w:type="dxa"/>
            <w:tcBorders>
              <w:top w:val="single" w:color="auto" w:sz="4" w:space="0"/>
              <w:left w:val="single" w:color="auto" w:sz="4" w:space="0"/>
              <w:bottom w:val="single" w:color="auto" w:sz="4" w:space="0"/>
              <w:right w:val="single" w:color="auto" w:sz="4" w:space="0"/>
            </w:tcBorders>
            <w:vAlign w:val="center"/>
          </w:tcPr>
          <w:p w14:paraId="5D729D7B">
            <w:pPr>
              <w:spacing w:line="480" w:lineRule="exact"/>
              <w:rPr>
                <w:rFonts w:ascii="Times New Roman" w:hAnsi="Times New Roman" w:eastAsia="宋体" w:cs="Times New Roman"/>
                <w:color w:val="auto"/>
                <w:szCs w:val="21"/>
              </w:rPr>
            </w:pPr>
            <w:r>
              <w:rPr>
                <w:rFonts w:hint="eastAsia" w:ascii="Times New Roman" w:hAnsi="Times New Roman" w:eastAsia="宋体" w:cs="Times New Roman"/>
                <w:color w:val="auto"/>
                <w:szCs w:val="21"/>
              </w:rPr>
              <w:t>无</w:t>
            </w:r>
          </w:p>
        </w:tc>
      </w:tr>
      <w:tr w14:paraId="5DD3BDE0">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3DF126DD">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7.4.1</w:t>
            </w:r>
          </w:p>
        </w:tc>
        <w:tc>
          <w:tcPr>
            <w:tcW w:w="2572" w:type="dxa"/>
            <w:tcBorders>
              <w:top w:val="single" w:color="auto" w:sz="4" w:space="0"/>
              <w:left w:val="single" w:color="auto" w:sz="4" w:space="0"/>
              <w:bottom w:val="single" w:color="auto" w:sz="4" w:space="0"/>
              <w:right w:val="single" w:color="auto" w:sz="4" w:space="0"/>
            </w:tcBorders>
            <w:vAlign w:val="center"/>
          </w:tcPr>
          <w:p w14:paraId="676CC779">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履约保证金</w:t>
            </w:r>
          </w:p>
        </w:tc>
        <w:tc>
          <w:tcPr>
            <w:tcW w:w="5609" w:type="dxa"/>
            <w:tcBorders>
              <w:top w:val="single" w:color="auto" w:sz="4" w:space="0"/>
              <w:left w:val="single" w:color="auto" w:sz="4" w:space="0"/>
              <w:bottom w:val="single" w:color="auto" w:sz="4" w:space="0"/>
              <w:right w:val="single" w:color="auto" w:sz="4" w:space="0"/>
            </w:tcBorders>
            <w:vAlign w:val="center"/>
          </w:tcPr>
          <w:p w14:paraId="78E7B841">
            <w:pPr>
              <w:spacing w:beforeLines="0" w:afterLines="0" w:line="440" w:lineRule="exact"/>
              <w:rPr>
                <w:rFonts w:hint="eastAsia"/>
                <w:color w:val="auto"/>
                <w:sz w:val="21"/>
                <w:szCs w:val="21"/>
                <w:highlight w:val="none"/>
              </w:rPr>
            </w:pPr>
            <w:r>
              <w:rPr>
                <w:rFonts w:hint="eastAsia" w:ascii="宋体" w:hAnsi="宋体" w:eastAsia="宋体" w:cs="宋体"/>
                <w:color w:val="auto"/>
                <w:szCs w:val="21"/>
              </w:rPr>
              <w:t>（1）</w:t>
            </w:r>
            <w:r>
              <w:rPr>
                <w:rFonts w:ascii="宋体" w:hAnsi="宋体" w:eastAsia="宋体" w:cs="宋体"/>
                <w:b w:val="0"/>
                <w:bCs w:val="0"/>
                <w:i w:val="0"/>
                <w:iCs w:val="0"/>
                <w:caps w:val="0"/>
                <w:color w:val="auto"/>
                <w:spacing w:val="0"/>
                <w:sz w:val="21"/>
                <w:szCs w:val="21"/>
              </w:rPr>
              <w:t>成交公示后，在合同签订前，乙方需向甲方支付合同总价</w:t>
            </w:r>
            <w:r>
              <w:rPr>
                <w:rFonts w:hint="eastAsia" w:ascii="宋体" w:hAnsi="宋体" w:eastAsia="宋体" w:cs="宋体"/>
                <w:b w:val="0"/>
                <w:bCs w:val="0"/>
                <w:i w:val="0"/>
                <w:iCs w:val="0"/>
                <w:caps w:val="0"/>
                <w:color w:val="auto"/>
                <w:spacing w:val="0"/>
                <w:sz w:val="21"/>
                <w:szCs w:val="21"/>
                <w:lang w:val="en-US" w:eastAsia="zh-CN"/>
              </w:rPr>
              <w:t>2%</w:t>
            </w:r>
            <w:r>
              <w:rPr>
                <w:rFonts w:ascii="宋体" w:hAnsi="宋体" w:eastAsia="宋体" w:cs="宋体"/>
                <w:b w:val="0"/>
                <w:bCs w:val="0"/>
                <w:i w:val="0"/>
                <w:iCs w:val="0"/>
                <w:caps w:val="0"/>
                <w:color w:val="auto"/>
                <w:spacing w:val="0"/>
                <w:sz w:val="21"/>
                <w:szCs w:val="21"/>
              </w:rPr>
              <w:t>的履约保证金或提供合同总价</w:t>
            </w:r>
            <w:r>
              <w:rPr>
                <w:rFonts w:hint="eastAsia" w:ascii="宋体" w:hAnsi="宋体" w:eastAsia="宋体" w:cs="宋体"/>
                <w:b w:val="0"/>
                <w:bCs w:val="0"/>
                <w:i w:val="0"/>
                <w:iCs w:val="0"/>
                <w:caps w:val="0"/>
                <w:color w:val="auto"/>
                <w:spacing w:val="0"/>
                <w:sz w:val="21"/>
                <w:szCs w:val="21"/>
                <w:lang w:val="en-US" w:eastAsia="zh-CN"/>
              </w:rPr>
              <w:t>5%</w:t>
            </w:r>
            <w:r>
              <w:rPr>
                <w:rFonts w:ascii="宋体" w:hAnsi="宋体" w:eastAsia="宋体" w:cs="宋体"/>
                <w:b w:val="0"/>
                <w:bCs w:val="0"/>
                <w:i w:val="0"/>
                <w:iCs w:val="0"/>
                <w:caps w:val="0"/>
                <w:color w:val="auto"/>
                <w:spacing w:val="0"/>
                <w:sz w:val="21"/>
                <w:szCs w:val="21"/>
              </w:rPr>
              <w:t>的银行保函。</w:t>
            </w:r>
          </w:p>
          <w:p w14:paraId="0B552E09">
            <w:pPr>
              <w:snapToGrid w:val="0"/>
              <w:spacing w:line="480" w:lineRule="exact"/>
              <w:rPr>
                <w:color w:val="auto"/>
              </w:rPr>
            </w:pPr>
            <w:r>
              <w:rPr>
                <w:rFonts w:hint="eastAsia" w:ascii="宋体" w:hAnsi="宋体" w:eastAsia="宋体" w:cs="宋体"/>
                <w:color w:val="auto"/>
                <w:szCs w:val="21"/>
              </w:rPr>
              <w:t>（2）履约保证金退还时间：该项目物资供应整体验收完成后28天内。</w:t>
            </w:r>
          </w:p>
        </w:tc>
      </w:tr>
      <w:tr w14:paraId="5F7F94F2">
        <w:tblPrEx>
          <w:tblCellMar>
            <w:top w:w="0" w:type="dxa"/>
            <w:left w:w="108" w:type="dxa"/>
            <w:bottom w:w="0" w:type="dxa"/>
            <w:right w:w="108" w:type="dxa"/>
          </w:tblCellMar>
        </w:tblPrEx>
        <w:trPr>
          <w:trHeight w:val="567" w:hRule="atLeast"/>
        </w:trPr>
        <w:tc>
          <w:tcPr>
            <w:tcW w:w="9181" w:type="dxa"/>
            <w:gridSpan w:val="3"/>
            <w:tcBorders>
              <w:top w:val="single" w:color="auto" w:sz="4" w:space="0"/>
              <w:left w:val="single" w:color="auto" w:sz="4" w:space="0"/>
              <w:bottom w:val="single" w:color="auto" w:sz="4" w:space="0"/>
              <w:right w:val="single" w:color="auto" w:sz="4" w:space="0"/>
            </w:tcBorders>
            <w:vAlign w:val="center"/>
          </w:tcPr>
          <w:p w14:paraId="1F281378">
            <w:pPr>
              <w:snapToGrid w:val="0"/>
              <w:spacing w:line="480" w:lineRule="exact"/>
              <w:rPr>
                <w:rFonts w:ascii="Times New Roman" w:hAnsi="Times New Roman" w:eastAsia="宋体" w:cs="Times New Roman"/>
                <w:color w:val="auto"/>
                <w:szCs w:val="21"/>
              </w:rPr>
            </w:pPr>
            <w:r>
              <w:rPr>
                <w:rFonts w:hint="eastAsia" w:ascii="Times New Roman" w:hAnsi="Times New Roman" w:eastAsia="宋体" w:cs="Times New Roman"/>
                <w:color w:val="auto"/>
                <w:szCs w:val="21"/>
              </w:rPr>
              <w:t>9</w:t>
            </w:r>
            <w:r>
              <w:rPr>
                <w:rFonts w:ascii="Times New Roman" w:hAnsi="Times New Roman" w:eastAsia="宋体" w:cs="Times New Roman"/>
                <w:color w:val="auto"/>
                <w:szCs w:val="21"/>
              </w:rPr>
              <w:t>需要补充的其他内容</w:t>
            </w:r>
          </w:p>
        </w:tc>
      </w:tr>
      <w:tr w14:paraId="13CBE90A">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3C81E427">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9.1</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5E1A76A5">
            <w:pPr>
              <w:snapToGrid w:val="0"/>
              <w:spacing w:line="480" w:lineRule="exact"/>
              <w:rPr>
                <w:color w:val="auto"/>
              </w:rPr>
            </w:pPr>
            <w:r>
              <w:rPr>
                <w:rFonts w:hint="eastAsia"/>
                <w:color w:val="auto"/>
                <w:lang w:val="en-US" w:eastAsia="zh-CN"/>
              </w:rPr>
              <w:t>响应</w:t>
            </w:r>
            <w:r>
              <w:rPr>
                <w:rFonts w:hint="eastAsia"/>
                <w:color w:val="auto"/>
              </w:rPr>
              <w:t>人或其他利害关系人对评</w:t>
            </w:r>
            <w:r>
              <w:rPr>
                <w:rFonts w:hint="eastAsia"/>
                <w:color w:val="auto"/>
                <w:lang w:val="en-US" w:eastAsia="zh-CN"/>
              </w:rPr>
              <w:t>审</w:t>
            </w:r>
            <w:r>
              <w:rPr>
                <w:rFonts w:hint="eastAsia"/>
                <w:color w:val="auto"/>
              </w:rPr>
              <w:t>结果有异议的，应以书面形式提出，异议材料应包括：</w:t>
            </w:r>
          </w:p>
          <w:p w14:paraId="384686E9">
            <w:pPr>
              <w:snapToGrid w:val="0"/>
              <w:spacing w:line="480" w:lineRule="exact"/>
              <w:rPr>
                <w:color w:val="auto"/>
              </w:rPr>
            </w:pPr>
            <w:r>
              <w:rPr>
                <w:rFonts w:hint="eastAsia"/>
                <w:color w:val="auto"/>
              </w:rPr>
              <w:t>（1）异议人的名称、地址及有效联系方式；</w:t>
            </w:r>
          </w:p>
          <w:p w14:paraId="04B272DD">
            <w:pPr>
              <w:snapToGrid w:val="0"/>
              <w:spacing w:line="480" w:lineRule="exact"/>
              <w:rPr>
                <w:color w:val="auto"/>
              </w:rPr>
            </w:pPr>
            <w:r>
              <w:rPr>
                <w:rFonts w:hint="eastAsia"/>
                <w:color w:val="auto"/>
              </w:rPr>
              <w:t>（2）异议事项的基本事实；</w:t>
            </w:r>
          </w:p>
          <w:p w14:paraId="4CED3012">
            <w:pPr>
              <w:snapToGrid w:val="0"/>
              <w:spacing w:line="480" w:lineRule="exact"/>
              <w:rPr>
                <w:color w:val="auto"/>
              </w:rPr>
            </w:pPr>
            <w:r>
              <w:rPr>
                <w:rFonts w:hint="eastAsia"/>
                <w:color w:val="auto"/>
              </w:rPr>
              <w:t>（3）有效线索和相关证明材料。</w:t>
            </w:r>
          </w:p>
          <w:p w14:paraId="425A0DB0">
            <w:pPr>
              <w:snapToGrid w:val="0"/>
              <w:spacing w:line="480" w:lineRule="exact"/>
              <w:ind w:firstLine="420" w:firstLineChars="200"/>
              <w:rPr>
                <w:rFonts w:ascii="Times New Roman" w:hAnsi="Times New Roman" w:eastAsia="宋体" w:cs="Times New Roman"/>
                <w:color w:val="auto"/>
                <w:szCs w:val="21"/>
              </w:rPr>
            </w:pPr>
            <w:r>
              <w:rPr>
                <w:rFonts w:hint="eastAsia"/>
                <w:color w:val="auto"/>
              </w:rPr>
              <w:t>异议人是法人的，异议材料必须由其法定代表人或者授权代表签字并盖章；其他组织或者个人提出异议的，异议材料必须由其主要负责人或者异议本人签字，并附有效身份证明复印件。</w:t>
            </w:r>
          </w:p>
        </w:tc>
      </w:tr>
      <w:tr w14:paraId="246A5899">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10B7DEC8">
            <w:pPr>
              <w:keepNext w:val="0"/>
              <w:keepLines w:val="0"/>
              <w:pageBreakBefore w:val="0"/>
              <w:widowControl w:val="0"/>
              <w:kinsoku/>
              <w:wordWrap/>
              <w:overflowPunct/>
              <w:topLinePunct w:val="0"/>
              <w:autoSpaceDE/>
              <w:autoSpaceDN/>
              <w:bidi w:val="0"/>
              <w:adjustRightInd/>
              <w:spacing w:line="440" w:lineRule="exact"/>
              <w:ind w:firstLine="210" w:firstLineChars="100"/>
              <w:jc w:val="both"/>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9.2</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6165AD61">
            <w:pPr>
              <w:pStyle w:val="2"/>
              <w:keepNext w:val="0"/>
              <w:keepLines w:val="0"/>
              <w:pageBreakBefore w:val="0"/>
              <w:widowControl w:val="0"/>
              <w:kinsoku/>
              <w:wordWrap/>
              <w:overflowPunct/>
              <w:topLinePunct w:val="0"/>
              <w:autoSpaceDE/>
              <w:autoSpaceDN/>
              <w:bidi w:val="0"/>
              <w:adjustRightInd/>
              <w:spacing w:after="0" w:line="440" w:lineRule="exact"/>
              <w:ind w:firstLine="420" w:firstLineChars="200"/>
              <w:jc w:val="both"/>
              <w:rPr>
                <w:b w:val="0"/>
                <w:bCs w:val="0"/>
                <w:color w:val="auto"/>
                <w:highlight w:val="none"/>
              </w:rPr>
            </w:pPr>
            <w:r>
              <w:rPr>
                <w:rFonts w:hint="eastAsia"/>
                <w:b w:val="0"/>
                <w:bCs w:val="0"/>
                <w:color w:val="auto"/>
                <w:highlight w:val="none"/>
                <w:lang w:val="en-US" w:eastAsia="zh-CN"/>
              </w:rPr>
              <w:t>1</w:t>
            </w:r>
            <w:r>
              <w:rPr>
                <w:rFonts w:hint="eastAsia"/>
                <w:b w:val="0"/>
                <w:bCs w:val="0"/>
                <w:color w:val="auto"/>
                <w:highlight w:val="none"/>
              </w:rPr>
              <w:t>.报价完全考虑报价清单要求内容，含清单内要求的品牌，材质，工艺，辅材等。</w:t>
            </w:r>
          </w:p>
          <w:p w14:paraId="14B95123">
            <w:pPr>
              <w:keepNext w:val="0"/>
              <w:keepLines w:val="0"/>
              <w:pageBreakBefore w:val="0"/>
              <w:widowControl w:val="0"/>
              <w:kinsoku/>
              <w:wordWrap/>
              <w:overflowPunct/>
              <w:topLinePunct w:val="0"/>
              <w:autoSpaceDE/>
              <w:autoSpaceDN/>
              <w:bidi w:val="0"/>
              <w:adjustRightInd/>
              <w:spacing w:line="440" w:lineRule="exact"/>
              <w:ind w:firstLine="420" w:firstLineChars="200"/>
              <w:jc w:val="both"/>
              <w:rPr>
                <w:rFonts w:ascii="Times New Roman" w:eastAsia="宋体"/>
                <w:b/>
                <w:bCs/>
                <w:color w:val="auto"/>
                <w:highlight w:val="none"/>
              </w:rPr>
            </w:pPr>
            <w:r>
              <w:rPr>
                <w:rFonts w:hint="eastAsia"/>
                <w:b w:val="0"/>
                <w:bCs w:val="0"/>
                <w:color w:val="auto"/>
                <w:highlight w:val="none"/>
                <w:lang w:val="en-US" w:eastAsia="zh-CN"/>
              </w:rPr>
              <w:t>2</w:t>
            </w:r>
            <w:r>
              <w:rPr>
                <w:rFonts w:hint="eastAsia"/>
                <w:b w:val="0"/>
                <w:bCs w:val="0"/>
                <w:color w:val="auto"/>
                <w:highlight w:val="none"/>
              </w:rPr>
              <w:t>.</w:t>
            </w:r>
            <w:r>
              <w:rPr>
                <w:rFonts w:hint="eastAsia" w:ascii="Times New Roman" w:eastAsia="宋体"/>
                <w:b w:val="0"/>
                <w:bCs w:val="0"/>
                <w:color w:val="auto"/>
                <w:highlight w:val="none"/>
              </w:rPr>
              <w:t>异常低价或不平衡报价，</w:t>
            </w:r>
            <w:r>
              <w:rPr>
                <w:rFonts w:hint="eastAsia" w:ascii="宋体" w:hAnsi="宋体" w:eastAsia="宋体" w:cs="宋体"/>
                <w:color w:val="auto"/>
                <w:sz w:val="21"/>
                <w:szCs w:val="21"/>
                <w:highlight w:val="none"/>
                <w:lang w:val="en-US" w:eastAsia="zh-CN"/>
              </w:rPr>
              <w:t>采购人有权作废除响应资格处理</w:t>
            </w:r>
            <w:r>
              <w:rPr>
                <w:rFonts w:hint="eastAsia" w:ascii="Times New Roman" w:eastAsia="宋体"/>
                <w:b w:val="0"/>
                <w:bCs w:val="0"/>
                <w:color w:val="auto"/>
                <w:highlight w:val="none"/>
              </w:rPr>
              <w:t>。</w:t>
            </w:r>
          </w:p>
        </w:tc>
      </w:tr>
      <w:tr w14:paraId="45C6CDB7">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1ED5B7DB">
            <w:pPr>
              <w:spacing w:line="480" w:lineRule="exac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rPr>
              <w:t>9.</w:t>
            </w:r>
            <w:r>
              <w:rPr>
                <w:rFonts w:hint="eastAsia" w:ascii="Times New Roman" w:hAnsi="Times New Roman" w:eastAsia="宋体" w:cs="Times New Roman"/>
                <w:color w:val="auto"/>
                <w:szCs w:val="21"/>
                <w:lang w:val="en-US" w:eastAsia="zh-CN"/>
              </w:rPr>
              <w:t>3</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07FB10F9">
            <w:pPr>
              <w:spacing w:line="480" w:lineRule="exact"/>
              <w:ind w:firstLine="420" w:firstLineChars="200"/>
              <w:rPr>
                <w:rFonts w:ascii="Times New Roman" w:hAnsi="Times New Roman" w:eastAsia="宋体" w:cs="Times New Roman"/>
                <w:color w:val="auto"/>
                <w:szCs w:val="21"/>
              </w:rPr>
            </w:pPr>
            <w:r>
              <w:rPr>
                <w:rFonts w:hint="eastAsia"/>
                <w:color w:val="auto"/>
              </w:rPr>
              <w:t>供货方按合同约定的交货地点交货后安装完毕并投入使用，由使用单位或合同签订单位进行设备验收检测（如需），如设备验收检测合格，产生的检测费用由使用单位或合同签订单位支付；如设备验收检测不合格，产生的检测费用由供货方支付并对不合格设备进行维修或更换，若造成损失供货方将进行赔偿，甚至追究违约责任。</w:t>
            </w:r>
          </w:p>
        </w:tc>
      </w:tr>
      <w:tr w14:paraId="7449B429">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0565137D">
            <w:pPr>
              <w:spacing w:line="480" w:lineRule="exac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9.4</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373EC6CF">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1.本项目后期有可能涉及部分产品的优化及深化设计，响应单位在响应报价时应充分考虑此部分的费用，根据自身因素、综合条件、市场风险自行报价，成交后不予调整。</w:t>
            </w:r>
          </w:p>
          <w:p w14:paraId="47B460FF">
            <w:pPr>
              <w:spacing w:line="480" w:lineRule="exact"/>
              <w:ind w:firstLine="440" w:firstLineChars="200"/>
              <w:rPr>
                <w:rFonts w:hint="eastAsia"/>
                <w:color w:val="auto"/>
              </w:rPr>
            </w:pPr>
            <w:r>
              <w:rPr>
                <w:rFonts w:hint="eastAsia" w:ascii="宋体" w:hAnsi="宋体" w:eastAsia="宋体" w:cs="宋体"/>
                <w:color w:val="auto"/>
                <w:sz w:val="22"/>
                <w:szCs w:val="22"/>
                <w:highlight w:val="none"/>
                <w:lang w:val="en-US" w:eastAsia="zh-CN"/>
              </w:rPr>
              <w:t>2.材料常规检测费用含在报价中，采购人不另外单独支付。</w:t>
            </w:r>
          </w:p>
        </w:tc>
      </w:tr>
      <w:tr w14:paraId="0FA5C8E3">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75DF0675">
            <w:pPr>
              <w:spacing w:line="480" w:lineRule="exac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9.5</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1357734D">
            <w:pPr>
              <w:spacing w:line="480" w:lineRule="exact"/>
              <w:ind w:firstLine="440" w:firstLineChars="200"/>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1.自2025 年1月1日起计算，乙方须按累计供货金额每达800万，在甲方指定的交控建工集团任意开发或代建项目购买住宅1套、车位1个。1套住宅+1个车位预估价为80万元，购买人可为乙方或乙方指定的购买人。</w:t>
            </w:r>
          </w:p>
          <w:p w14:paraId="4E1FA5C9">
            <w:pPr>
              <w:spacing w:line="480" w:lineRule="exact"/>
              <w:ind w:firstLine="440" w:firstLineChars="200"/>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2.房屋认购应在累计供货额达到每800万后的60天内完成房屋认购，如乙方未在约定时间内完成房屋认购，乙方需向甲方支付累计供货价款10%的违约金，甲方有权直接从乙方未支付的货款中直接扣除。</w:t>
            </w:r>
          </w:p>
          <w:p w14:paraId="51FDF966">
            <w:pPr>
              <w:spacing w:line="480" w:lineRule="exact"/>
              <w:ind w:firstLine="440" w:firstLineChars="200"/>
              <w:rPr>
                <w:rFonts w:hint="eastAsia"/>
                <w:color w:val="auto"/>
                <w:highlight w:val="none"/>
              </w:rPr>
            </w:pPr>
            <w:r>
              <w:rPr>
                <w:rFonts w:hint="eastAsia" w:ascii="宋体" w:hAnsi="宋体" w:eastAsia="宋体" w:cs="宋体"/>
                <w:b/>
                <w:bCs/>
                <w:color w:val="auto"/>
                <w:sz w:val="22"/>
                <w:szCs w:val="22"/>
                <w:highlight w:val="yellow"/>
                <w:lang w:val="en-US" w:eastAsia="zh-CN"/>
              </w:rPr>
              <w:t>3.对于完成工抵的供应商获得下年度集采重点推荐资格；额外给予上年度合作额度10%的上浮空间；对合作供应商授予“战略合作伙伴"认证资质。</w:t>
            </w:r>
          </w:p>
        </w:tc>
      </w:tr>
      <w:tr w14:paraId="013A9FD7">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27C163F9">
            <w:pPr>
              <w:spacing w:line="480" w:lineRule="exac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9.6</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74BB1516">
            <w:pPr>
              <w:spacing w:beforeLines="0" w:afterLines="0" w:line="320" w:lineRule="exact"/>
              <w:ind w:firstLine="420" w:firstLineChars="200"/>
              <w:textAlignment w:val="top"/>
              <w:rPr>
                <w:rFonts w:hint="eastAsia"/>
                <w:b/>
                <w:color w:val="auto"/>
                <w:sz w:val="21"/>
                <w:szCs w:val="24"/>
                <w:highlight w:val="yellow"/>
              </w:rPr>
            </w:pPr>
            <w:r>
              <w:rPr>
                <w:rFonts w:hint="eastAsia"/>
                <w:b/>
                <w:color w:val="auto"/>
                <w:sz w:val="21"/>
                <w:szCs w:val="24"/>
                <w:highlight w:val="yellow"/>
              </w:rPr>
              <w:t>拟</w:t>
            </w:r>
            <w:r>
              <w:rPr>
                <w:rFonts w:hint="eastAsia"/>
                <w:b/>
                <w:color w:val="auto"/>
                <w:sz w:val="21"/>
                <w:szCs w:val="24"/>
                <w:highlight w:val="yellow"/>
                <w:lang w:val="en-US" w:eastAsia="zh-CN"/>
              </w:rPr>
              <w:t>成交</w:t>
            </w:r>
            <w:r>
              <w:rPr>
                <w:rFonts w:hint="eastAsia"/>
                <w:b/>
                <w:color w:val="auto"/>
                <w:sz w:val="21"/>
                <w:szCs w:val="24"/>
                <w:highlight w:val="yellow"/>
              </w:rPr>
              <w:t>人须在采购人通</w:t>
            </w:r>
            <w:r>
              <w:rPr>
                <w:rFonts w:hint="eastAsia" w:asciiTheme="minorEastAsia" w:hAnsiTheme="minorEastAsia" w:eastAsiaTheme="minorEastAsia" w:cstheme="minorEastAsia"/>
                <w:b/>
                <w:color w:val="auto"/>
                <w:sz w:val="21"/>
                <w:szCs w:val="24"/>
                <w:highlight w:val="yellow"/>
              </w:rPr>
              <w:t>知</w:t>
            </w:r>
            <w:r>
              <w:rPr>
                <w:rFonts w:hint="eastAsia" w:asciiTheme="minorEastAsia" w:hAnsiTheme="minorEastAsia" w:cstheme="minorEastAsia"/>
                <w:b/>
                <w:color w:val="auto"/>
                <w:sz w:val="21"/>
                <w:szCs w:val="24"/>
                <w:highlight w:val="yellow"/>
                <w:u w:val="single"/>
                <w:lang w:val="en-US" w:eastAsia="zh-CN"/>
              </w:rPr>
              <w:t>3</w:t>
            </w:r>
            <w:r>
              <w:rPr>
                <w:rFonts w:hint="eastAsia" w:asciiTheme="minorEastAsia" w:hAnsiTheme="minorEastAsia" w:eastAsiaTheme="minorEastAsia" w:cstheme="minorEastAsia"/>
                <w:b/>
                <w:color w:val="auto"/>
                <w:sz w:val="21"/>
                <w:szCs w:val="24"/>
                <w:highlight w:val="yellow"/>
              </w:rPr>
              <w:t>日</w:t>
            </w:r>
            <w:r>
              <w:rPr>
                <w:rFonts w:hint="eastAsia"/>
                <w:b/>
                <w:color w:val="auto"/>
                <w:sz w:val="21"/>
                <w:szCs w:val="24"/>
                <w:highlight w:val="yellow"/>
              </w:rPr>
              <w:t>内送样经采购人确认，如所送样品不符合产品要求或在供应过程中达不到采购人要求的：</w:t>
            </w:r>
          </w:p>
          <w:p w14:paraId="1CA8DF5F">
            <w:pPr>
              <w:snapToGrid w:val="0"/>
              <w:spacing w:beforeLines="0" w:afterLines="0" w:line="320" w:lineRule="exact"/>
              <w:ind w:firstLine="420" w:firstLineChars="200"/>
              <w:rPr>
                <w:rFonts w:hint="default"/>
                <w:color w:val="auto"/>
                <w:sz w:val="21"/>
                <w:szCs w:val="24"/>
                <w:highlight w:val="yellow"/>
              </w:rPr>
            </w:pPr>
            <w:r>
              <w:rPr>
                <w:rFonts w:hint="eastAsia"/>
                <w:color w:val="auto"/>
                <w:sz w:val="21"/>
                <w:szCs w:val="24"/>
                <w:highlight w:val="yellow"/>
              </w:rPr>
              <w:t>1）采购人有权终止</w:t>
            </w:r>
            <w:r>
              <w:rPr>
                <w:rFonts w:hint="eastAsia"/>
                <w:color w:val="auto"/>
                <w:sz w:val="21"/>
                <w:szCs w:val="24"/>
                <w:highlight w:val="yellow"/>
                <w:lang w:val="en-US" w:eastAsia="zh-CN"/>
              </w:rPr>
              <w:t>成交</w:t>
            </w:r>
            <w:r>
              <w:rPr>
                <w:rFonts w:hint="eastAsia"/>
                <w:color w:val="auto"/>
                <w:sz w:val="21"/>
                <w:szCs w:val="24"/>
                <w:highlight w:val="yellow"/>
              </w:rPr>
              <w:t>候选人资格，并没收</w:t>
            </w:r>
            <w:r>
              <w:rPr>
                <w:rFonts w:hint="eastAsia"/>
                <w:color w:val="auto"/>
                <w:sz w:val="21"/>
                <w:szCs w:val="24"/>
                <w:highlight w:val="yellow"/>
                <w:lang w:val="en-US" w:eastAsia="zh-CN"/>
              </w:rPr>
              <w:t>响应</w:t>
            </w:r>
            <w:r>
              <w:rPr>
                <w:rFonts w:hint="eastAsia"/>
                <w:color w:val="auto"/>
                <w:sz w:val="21"/>
                <w:szCs w:val="24"/>
                <w:highlight w:val="yellow"/>
              </w:rPr>
              <w:t>保证金；按候选人公示顺延成交人或重新采购。</w:t>
            </w:r>
          </w:p>
          <w:p w14:paraId="1B4C5A29">
            <w:pPr>
              <w:snapToGrid w:val="0"/>
              <w:spacing w:beforeLines="0" w:afterLines="0" w:line="320" w:lineRule="exact"/>
              <w:ind w:firstLine="420" w:firstLineChars="200"/>
              <w:rPr>
                <w:rFonts w:hint="default"/>
                <w:color w:val="auto"/>
                <w:sz w:val="21"/>
                <w:szCs w:val="24"/>
                <w:highlight w:val="yellow"/>
              </w:rPr>
            </w:pPr>
            <w:r>
              <w:rPr>
                <w:rFonts w:hint="eastAsia"/>
                <w:color w:val="auto"/>
                <w:sz w:val="21"/>
                <w:szCs w:val="24"/>
                <w:highlight w:val="yellow"/>
              </w:rPr>
              <w:t>2）采购人有权终止合同，并依据合同规定追究法律责任。</w:t>
            </w:r>
          </w:p>
          <w:p w14:paraId="1C45E3C9">
            <w:pPr>
              <w:snapToGrid w:val="0"/>
              <w:spacing w:beforeLines="0" w:afterLines="0" w:line="320" w:lineRule="exact"/>
              <w:ind w:firstLine="420" w:firstLineChars="200"/>
              <w:rPr>
                <w:rFonts w:hint="default"/>
                <w:color w:val="auto"/>
                <w:sz w:val="21"/>
                <w:szCs w:val="24"/>
                <w:highlight w:val="yellow"/>
              </w:rPr>
            </w:pPr>
            <w:r>
              <w:rPr>
                <w:rFonts w:hint="eastAsia"/>
                <w:color w:val="auto"/>
                <w:sz w:val="21"/>
                <w:szCs w:val="24"/>
                <w:highlight w:val="yellow"/>
              </w:rPr>
              <w:t>3）采购人有权对拟</w:t>
            </w:r>
            <w:r>
              <w:rPr>
                <w:rFonts w:hint="eastAsia"/>
                <w:color w:val="auto"/>
                <w:sz w:val="21"/>
                <w:szCs w:val="24"/>
                <w:highlight w:val="yellow"/>
                <w:lang w:val="en-US" w:eastAsia="zh-CN"/>
              </w:rPr>
              <w:t>成交</w:t>
            </w:r>
            <w:r>
              <w:rPr>
                <w:rFonts w:hint="eastAsia"/>
                <w:color w:val="auto"/>
                <w:sz w:val="21"/>
                <w:szCs w:val="24"/>
                <w:highlight w:val="yellow"/>
              </w:rPr>
              <w:t>人违约行为按照约定进行处罚。</w:t>
            </w:r>
          </w:p>
          <w:p w14:paraId="6DA5C046">
            <w:pPr>
              <w:spacing w:line="480" w:lineRule="exact"/>
              <w:ind w:firstLine="420" w:firstLineChars="200"/>
              <w:rPr>
                <w:rFonts w:hint="eastAsia" w:ascii="宋体" w:hAnsi="宋体" w:eastAsia="宋体" w:cs="宋体"/>
                <w:b/>
                <w:bCs/>
                <w:color w:val="auto"/>
                <w:sz w:val="22"/>
                <w:szCs w:val="22"/>
                <w:highlight w:val="none"/>
                <w:lang w:val="en-US" w:eastAsia="zh-CN"/>
              </w:rPr>
            </w:pPr>
            <w:r>
              <w:rPr>
                <w:rFonts w:hint="eastAsia"/>
                <w:color w:val="auto"/>
                <w:sz w:val="21"/>
                <w:szCs w:val="24"/>
                <w:highlight w:val="yellow"/>
              </w:rPr>
              <w:t>4）采购人有权将未完成的供货部分移交给第三方实施，供应商应无条件配合相关移交工作。</w:t>
            </w:r>
          </w:p>
        </w:tc>
      </w:tr>
    </w:tbl>
    <w:p w14:paraId="76CEB43A">
      <w:pPr>
        <w:rPr>
          <w:color w:val="auto"/>
        </w:rPr>
      </w:pPr>
      <w:r>
        <w:rPr>
          <w:rFonts w:hint="eastAsia" w:ascii="Times New Roman" w:hAnsi="Times New Roman" w:cs="Times New Roman"/>
          <w:color w:val="auto"/>
          <w:szCs w:val="21"/>
          <w:highlight w:val="none"/>
        </w:rPr>
        <w:t>注：供应商须知正文</w:t>
      </w:r>
      <w:r>
        <w:rPr>
          <w:rFonts w:ascii="Times New Roman" w:hAnsi="Times New Roman" w:cs="Times New Roman"/>
          <w:color w:val="auto"/>
          <w:szCs w:val="21"/>
          <w:highlight w:val="none"/>
        </w:rPr>
        <w:t>与前附表</w:t>
      </w:r>
      <w:r>
        <w:rPr>
          <w:rFonts w:hint="eastAsia" w:ascii="Times New Roman" w:hAnsi="Times New Roman" w:cs="Times New Roman"/>
          <w:color w:val="auto"/>
          <w:szCs w:val="21"/>
          <w:highlight w:val="none"/>
        </w:rPr>
        <w:t>内容</w:t>
      </w:r>
      <w:r>
        <w:rPr>
          <w:rFonts w:ascii="Times New Roman" w:hAnsi="Times New Roman" w:cs="Times New Roman"/>
          <w:color w:val="auto"/>
          <w:szCs w:val="21"/>
          <w:highlight w:val="none"/>
        </w:rPr>
        <w:t>不一致</w:t>
      </w:r>
      <w:r>
        <w:rPr>
          <w:rFonts w:hint="eastAsia" w:ascii="Times New Roman" w:hAnsi="Times New Roman" w:cs="Times New Roman"/>
          <w:color w:val="auto"/>
          <w:szCs w:val="21"/>
          <w:highlight w:val="none"/>
        </w:rPr>
        <w:t>时</w:t>
      </w:r>
      <w:r>
        <w:rPr>
          <w:rFonts w:ascii="Times New Roman" w:hAnsi="Times New Roman" w:cs="Times New Roman"/>
          <w:color w:val="auto"/>
          <w:szCs w:val="21"/>
          <w:highlight w:val="none"/>
        </w:rPr>
        <w:t>，以供应商</w:t>
      </w:r>
      <w:r>
        <w:rPr>
          <w:rFonts w:hint="eastAsia" w:ascii="Times New Roman" w:hAnsi="Times New Roman" w:cs="Times New Roman"/>
          <w:color w:val="auto"/>
          <w:szCs w:val="21"/>
          <w:highlight w:val="none"/>
        </w:rPr>
        <w:t>须知</w:t>
      </w:r>
      <w:r>
        <w:rPr>
          <w:rFonts w:ascii="Times New Roman" w:hAnsi="Times New Roman" w:cs="Times New Roman"/>
          <w:color w:val="auto"/>
          <w:szCs w:val="21"/>
          <w:highlight w:val="none"/>
        </w:rPr>
        <w:t>前附表</w:t>
      </w:r>
      <w:r>
        <w:rPr>
          <w:rFonts w:hint="eastAsia" w:ascii="Times New Roman" w:hAnsi="Times New Roman" w:cs="Times New Roman"/>
          <w:color w:val="auto"/>
          <w:szCs w:val="21"/>
          <w:highlight w:val="none"/>
        </w:rPr>
        <w:t>的</w:t>
      </w:r>
      <w:r>
        <w:rPr>
          <w:rFonts w:ascii="Times New Roman" w:hAnsi="Times New Roman" w:cs="Times New Roman"/>
          <w:color w:val="auto"/>
          <w:szCs w:val="21"/>
          <w:highlight w:val="none"/>
        </w:rPr>
        <w:t>内容为准</w:t>
      </w:r>
      <w:r>
        <w:rPr>
          <w:rFonts w:hint="eastAsia" w:ascii="Times New Roman" w:hAnsi="Times New Roman" w:cs="Times New Roman"/>
          <w:color w:val="auto"/>
          <w:szCs w:val="21"/>
          <w:highlight w:val="none"/>
        </w:rPr>
        <w:t>。</w:t>
      </w:r>
    </w:p>
    <w:p w14:paraId="72E51199">
      <w:pPr>
        <w:rPr>
          <w:rFonts w:ascii="Times New Roman" w:hAnsi="Times New Roman" w:eastAsia="黑体" w:cs="Times New Roman"/>
          <w:bCs/>
          <w:color w:val="auto"/>
          <w:sz w:val="24"/>
          <w:szCs w:val="32"/>
        </w:rPr>
      </w:pPr>
      <w:bookmarkStart w:id="49" w:name="_Toc14201207"/>
      <w:bookmarkStart w:id="50" w:name="_Toc9067720"/>
      <w:bookmarkStart w:id="51" w:name="_Toc26656938"/>
      <w:r>
        <w:rPr>
          <w:rFonts w:ascii="Times New Roman" w:hAnsi="Times New Roman" w:eastAsia="黑体" w:cs="Times New Roman"/>
          <w:bCs/>
          <w:color w:val="auto"/>
          <w:sz w:val="24"/>
          <w:szCs w:val="32"/>
        </w:rPr>
        <w:br w:type="page"/>
      </w:r>
    </w:p>
    <w:p w14:paraId="58E11696">
      <w:pPr>
        <w:jc w:val="center"/>
        <w:rPr>
          <w:color w:val="auto"/>
        </w:rPr>
      </w:pPr>
      <w:r>
        <w:rPr>
          <w:rFonts w:hint="eastAsia" w:ascii="黑体" w:eastAsia="黑体"/>
          <w:color w:val="auto"/>
          <w:sz w:val="24"/>
        </w:rPr>
        <w:t>附录1 资格审查条件（资质最低条件）</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18EBAF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72" w:type="dxa"/>
            <w:vAlign w:val="center"/>
          </w:tcPr>
          <w:p w14:paraId="4E2C6A02">
            <w:pPr>
              <w:jc w:val="center"/>
              <w:rPr>
                <w:color w:val="auto"/>
                <w:sz w:val="22"/>
                <w:szCs w:val="22"/>
              </w:rPr>
            </w:pPr>
            <w:r>
              <w:rPr>
                <w:rFonts w:hint="eastAsia"/>
                <w:color w:val="auto"/>
                <w:sz w:val="22"/>
                <w:szCs w:val="22"/>
              </w:rPr>
              <w:t>企业资质等级要求</w:t>
            </w:r>
          </w:p>
        </w:tc>
      </w:tr>
      <w:tr w14:paraId="679F3F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9072" w:type="dxa"/>
            <w:vAlign w:val="center"/>
          </w:tcPr>
          <w:p w14:paraId="35581A89">
            <w:pPr>
              <w:numPr>
                <w:ilvl w:val="0"/>
                <w:numId w:val="0"/>
              </w:numPr>
              <w:snapToGrid w:val="0"/>
              <w:spacing w:beforeLines="0" w:afterLines="0" w:line="400" w:lineRule="exact"/>
              <w:ind w:firstLine="420" w:firstLineChars="200"/>
              <w:rPr>
                <w:rFonts w:hint="eastAsia" w:ascii="Times New Roman" w:hAnsi="Times New Roman"/>
                <w:color w:val="auto"/>
                <w:sz w:val="21"/>
                <w:szCs w:val="22"/>
                <w:highlight w:val="none"/>
                <w:u w:val="single"/>
                <w:lang w:val="en-US" w:eastAsia="zh-CN"/>
              </w:rPr>
            </w:pPr>
            <w:r>
              <w:rPr>
                <w:rFonts w:hint="eastAsia" w:ascii="Times New Roman" w:hAnsi="Times New Roman"/>
                <w:color w:val="auto"/>
                <w:sz w:val="21"/>
                <w:szCs w:val="22"/>
                <w:highlight w:val="none"/>
                <w:u w:val="single"/>
                <w:lang w:val="en-US" w:eastAsia="zh-CN"/>
              </w:rPr>
              <w:t xml:space="preserve">①具备独立法人资格，持有有效的营业执照。  </w:t>
            </w:r>
          </w:p>
          <w:p w14:paraId="2377CBF5">
            <w:pPr>
              <w:numPr>
                <w:ilvl w:val="0"/>
                <w:numId w:val="0"/>
              </w:numPr>
              <w:snapToGrid w:val="0"/>
              <w:spacing w:beforeLines="0" w:afterLines="0" w:line="400" w:lineRule="exact"/>
              <w:ind w:firstLine="420" w:firstLineChars="200"/>
              <w:rPr>
                <w:rFonts w:hint="eastAsia" w:ascii="宋体" w:hAnsi="宋体" w:cs="宋体"/>
                <w:color w:val="auto"/>
                <w:sz w:val="21"/>
                <w:szCs w:val="22"/>
                <w:highlight w:val="none"/>
                <w:u w:val="none"/>
                <w:lang w:val="en-US" w:eastAsia="zh-CN"/>
              </w:rPr>
            </w:pPr>
            <w:r>
              <w:rPr>
                <w:rFonts w:hint="eastAsia" w:ascii="Times New Roman" w:hAnsi="Times New Roman"/>
                <w:color w:val="auto"/>
                <w:sz w:val="21"/>
                <w:szCs w:val="22"/>
                <w:highlight w:val="none"/>
                <w:u w:val="single"/>
                <w:lang w:val="en-US" w:eastAsia="zh-CN"/>
              </w:rPr>
              <w:t>②制造商/厂家参与询比的，应具备有生产、销售采购人所需材料的能力；经销商/代理商参加询比的，应具备销售采购人所需材料的能力（提供所投产品业绩进行证明）。</w:t>
            </w:r>
          </w:p>
        </w:tc>
      </w:tr>
    </w:tbl>
    <w:p w14:paraId="634D91B1">
      <w:pPr>
        <w:tabs>
          <w:tab w:val="left" w:pos="400"/>
        </w:tabs>
        <w:overflowPunct w:val="0"/>
        <w:adjustRightInd w:val="0"/>
        <w:snapToGrid w:val="0"/>
        <w:ind w:firstLine="480" w:firstLineChars="200"/>
        <w:rPr>
          <w:rFonts w:hint="eastAsia" w:ascii="华文楷体" w:hAnsi="华文楷体" w:eastAsia="华文楷体" w:cs="华文楷体"/>
          <w:color w:val="auto"/>
          <w:sz w:val="24"/>
        </w:rPr>
      </w:pPr>
    </w:p>
    <w:p w14:paraId="31DB3022">
      <w:pPr>
        <w:pStyle w:val="2"/>
        <w:rPr>
          <w:color w:val="auto"/>
        </w:rPr>
      </w:pPr>
    </w:p>
    <w:p w14:paraId="40D2535B">
      <w:pPr>
        <w:jc w:val="center"/>
        <w:rPr>
          <w:color w:val="auto"/>
          <w:sz w:val="24"/>
        </w:rPr>
      </w:pPr>
      <w:r>
        <w:rPr>
          <w:rFonts w:hint="eastAsia" w:ascii="黑体" w:eastAsia="黑体"/>
          <w:color w:val="auto"/>
          <w:sz w:val="24"/>
        </w:rPr>
        <w:t>附录</w:t>
      </w:r>
      <w:r>
        <w:rPr>
          <w:rFonts w:hint="eastAsia" w:eastAsia="黑体"/>
          <w:color w:val="auto"/>
          <w:sz w:val="24"/>
        </w:rPr>
        <w:t>2</w:t>
      </w:r>
      <w:r>
        <w:rPr>
          <w:rFonts w:hint="eastAsia" w:ascii="黑体" w:eastAsia="黑体"/>
          <w:color w:val="auto"/>
          <w:sz w:val="24"/>
        </w:rPr>
        <w:t xml:space="preserve"> 资格审查条件（业绩最低要求）</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7A9AEB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9072" w:type="dxa"/>
            <w:vAlign w:val="center"/>
          </w:tcPr>
          <w:p w14:paraId="5FD49D14">
            <w:pPr>
              <w:jc w:val="center"/>
              <w:rPr>
                <w:color w:val="auto"/>
                <w:sz w:val="22"/>
                <w:szCs w:val="22"/>
              </w:rPr>
            </w:pPr>
            <w:r>
              <w:rPr>
                <w:rFonts w:hint="eastAsia"/>
                <w:color w:val="auto"/>
                <w:sz w:val="22"/>
                <w:szCs w:val="22"/>
              </w:rPr>
              <w:t>业 绩 要 求</w:t>
            </w:r>
          </w:p>
        </w:tc>
      </w:tr>
      <w:tr w14:paraId="07D19C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9072" w:type="dxa"/>
            <w:vAlign w:val="center"/>
          </w:tcPr>
          <w:p w14:paraId="1EE61A30">
            <w:pPr>
              <w:pStyle w:val="2"/>
              <w:keepNext w:val="0"/>
              <w:keepLines w:val="0"/>
              <w:pageBreakBefore w:val="0"/>
              <w:widowControl w:val="0"/>
              <w:kinsoku/>
              <w:wordWrap/>
              <w:overflowPunct/>
              <w:topLinePunct w:val="0"/>
              <w:autoSpaceDE/>
              <w:autoSpaceDN/>
              <w:bidi w:val="0"/>
              <w:adjustRightInd/>
              <w:snapToGrid w:val="0"/>
              <w:spacing w:after="0" w:line="440" w:lineRule="exact"/>
              <w:ind w:left="0" w:firstLine="420" w:firstLineChars="200"/>
              <w:jc w:val="both"/>
              <w:textAlignment w:val="auto"/>
              <w:rPr>
                <w:rFonts w:hint="default" w:eastAsiaTheme="minorEastAsia"/>
                <w:color w:val="auto"/>
                <w:lang w:val="en-US" w:eastAsia="zh-CN"/>
              </w:rPr>
            </w:pPr>
            <w:r>
              <w:rPr>
                <w:rFonts w:hint="eastAsia"/>
                <w:color w:val="auto"/>
                <w:highlight w:val="none"/>
                <w:lang w:val="en-US" w:eastAsia="zh-CN"/>
              </w:rPr>
              <w:t>至少提供1个自</w:t>
            </w:r>
            <w:r>
              <w:rPr>
                <w:rFonts w:hint="eastAsia"/>
                <w:color w:val="auto"/>
                <w:highlight w:val="none"/>
                <w:u w:val="single"/>
                <w:lang w:val="en-US" w:eastAsia="zh-CN"/>
              </w:rPr>
              <w:t>202</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1</w:t>
            </w:r>
            <w:r>
              <w:rPr>
                <w:rFonts w:hint="eastAsia"/>
                <w:color w:val="auto"/>
                <w:highlight w:val="none"/>
                <w:lang w:val="en-US" w:eastAsia="zh-CN"/>
              </w:rPr>
              <w:t>日以来</w:t>
            </w:r>
            <w:r>
              <w:rPr>
                <w:rFonts w:hint="default" w:ascii="Times New Roman" w:hAnsi="Times New Roman" w:cs="Times New Roman" w:eastAsiaTheme="minorEastAsia"/>
                <w:b w:val="0"/>
                <w:bCs w:val="0"/>
                <w:color w:val="auto"/>
                <w:highlight w:val="none"/>
                <w:u w:val="single"/>
                <w:lang w:val="en-US" w:eastAsia="zh-CN"/>
              </w:rPr>
              <w:t>，单项合同额不低于</w:t>
            </w:r>
            <w:r>
              <w:rPr>
                <w:rFonts w:hint="eastAsia" w:ascii="Times New Roman" w:hAnsi="Times New Roman" w:cs="Times New Roman"/>
                <w:b w:val="0"/>
                <w:bCs w:val="0"/>
                <w:color w:val="auto"/>
                <w:highlight w:val="none"/>
                <w:u w:val="single"/>
                <w:lang w:val="en-US" w:eastAsia="zh-CN"/>
              </w:rPr>
              <w:t>15</w:t>
            </w:r>
            <w:r>
              <w:rPr>
                <w:rFonts w:hint="default" w:ascii="Times New Roman" w:hAnsi="Times New Roman" w:cs="Times New Roman" w:eastAsiaTheme="minorEastAsia"/>
                <w:b w:val="0"/>
                <w:bCs w:val="0"/>
                <w:color w:val="auto"/>
                <w:highlight w:val="none"/>
                <w:u w:val="single"/>
                <w:lang w:val="en-US" w:eastAsia="zh-CN"/>
              </w:rPr>
              <w:t>万元的</w:t>
            </w:r>
            <w:r>
              <w:rPr>
                <w:rFonts w:hint="eastAsia" w:ascii="Times New Roman" w:hAnsi="Times New Roman" w:cs="Times New Roman"/>
                <w:b w:val="0"/>
                <w:bCs w:val="0"/>
                <w:color w:val="auto"/>
                <w:highlight w:val="none"/>
                <w:u w:val="single"/>
                <w:lang w:val="en-US" w:eastAsia="zh-CN"/>
              </w:rPr>
              <w:t>电器类</w:t>
            </w:r>
            <w:r>
              <w:rPr>
                <w:rFonts w:hint="default" w:ascii="Times New Roman" w:hAnsi="Times New Roman" w:cs="Times New Roman" w:eastAsiaTheme="minorEastAsia"/>
                <w:b w:val="0"/>
                <w:bCs w:val="0"/>
                <w:color w:val="auto"/>
                <w:szCs w:val="21"/>
                <w:highlight w:val="none"/>
                <w:u w:val="single"/>
                <w:lang w:val="en-US" w:eastAsia="zh-CN"/>
              </w:rPr>
              <w:t>合同业绩</w:t>
            </w:r>
            <w:r>
              <w:rPr>
                <w:rFonts w:hint="eastAsia" w:ascii="Times New Roman" w:hAnsi="Times New Roman" w:cs="Times New Roman"/>
                <w:b w:val="0"/>
                <w:bCs w:val="0"/>
                <w:color w:val="auto"/>
                <w:szCs w:val="21"/>
                <w:highlight w:val="none"/>
                <w:u w:val="single"/>
                <w:lang w:val="en-US" w:eastAsia="zh-CN"/>
              </w:rPr>
              <w:t>，每个业绩至少提供不低于合同金额50%的增值税发票（或提供不低于资格审查要求业绩金额的增值税发票），未提供或提供发票金额不足的，该业绩无效。</w:t>
            </w:r>
          </w:p>
        </w:tc>
      </w:tr>
    </w:tbl>
    <w:p w14:paraId="0F78D8A3">
      <w:pPr>
        <w:rPr>
          <w:color w:val="auto"/>
        </w:rPr>
      </w:pPr>
      <w:r>
        <w:rPr>
          <w:rFonts w:hint="eastAsia"/>
          <w:color w:val="auto"/>
        </w:rPr>
        <w:t>业绩证明材料要求如下，否则业绩不予认可。</w:t>
      </w:r>
    </w:p>
    <w:p w14:paraId="2A1BA43B">
      <w:pPr>
        <w:ind w:firstLine="420" w:firstLineChars="200"/>
        <w:rPr>
          <w:color w:val="auto"/>
        </w:rPr>
      </w:pPr>
      <w:r>
        <w:rPr>
          <w:rFonts w:hint="eastAsia"/>
          <w:color w:val="auto"/>
        </w:rPr>
        <w:t xml:space="preserve">①合同协议书扫描件；                                                                                                                                                                                                                                                                                                                                                                                                                                                                                                                                                                                                                                                                                                                                                                                                                                                                                                                                                                                                                                                                                                                                                                                                                                                                                                                                                                                                                                                                                                                                                                                                                                                                                                                                                                                                                                                                                                                                                                                                                                                                                                                                                                          </w:t>
      </w:r>
    </w:p>
    <w:p w14:paraId="01783C10">
      <w:pPr>
        <w:ind w:firstLine="420" w:firstLineChars="200"/>
        <w:rPr>
          <w:color w:val="auto"/>
        </w:rPr>
      </w:pPr>
      <w:r>
        <w:rPr>
          <w:rFonts w:hint="eastAsia"/>
          <w:color w:val="auto"/>
        </w:rPr>
        <w:t>②若合同协议书中不能明确反映出采购文件所要求内容的（如合同金额、合同签订时间、供货内容等），则须提供业主单位（甲方）出具加盖公章的证明材料扫描件。</w:t>
      </w:r>
    </w:p>
    <w:p w14:paraId="7CA4D001">
      <w:pPr>
        <w:ind w:firstLine="420" w:firstLineChars="200"/>
        <w:rPr>
          <w:color w:val="auto"/>
        </w:rPr>
      </w:pPr>
      <w:r>
        <w:rPr>
          <w:rFonts w:hint="eastAsia"/>
          <w:color w:val="auto"/>
        </w:rPr>
        <w:t>③若业绩合同中包含多项设备，则合同中应能体现资格要求中所需设备的内容和金额，无法体现的，须提供供货单据、供货发票、业主验收单等能证明相关评审因素的证明材料，否则业绩</w:t>
      </w:r>
      <w:r>
        <w:rPr>
          <w:rFonts w:hint="eastAsia"/>
          <w:color w:val="auto"/>
          <w:lang w:eastAsia="zh-CN"/>
        </w:rPr>
        <w:t>不予</w:t>
      </w:r>
      <w:r>
        <w:rPr>
          <w:rFonts w:hint="eastAsia"/>
          <w:color w:val="auto"/>
        </w:rPr>
        <w:t>认可。</w:t>
      </w:r>
    </w:p>
    <w:p w14:paraId="59CCBE48">
      <w:pPr>
        <w:ind w:firstLine="420" w:firstLineChars="200"/>
        <w:rPr>
          <w:rFonts w:ascii="黑体" w:eastAsia="黑体"/>
          <w:bCs/>
          <w:color w:val="auto"/>
        </w:rPr>
      </w:pPr>
      <w:r>
        <w:rPr>
          <w:rFonts w:hint="eastAsia"/>
          <w:color w:val="auto"/>
        </w:rPr>
        <w:t>④如近年来，</w:t>
      </w:r>
      <w:r>
        <w:rPr>
          <w:rFonts w:hint="eastAsia"/>
          <w:color w:val="auto"/>
          <w:lang w:val="en-US" w:eastAsia="zh-CN"/>
        </w:rPr>
        <w:t>响应</w:t>
      </w:r>
      <w:r>
        <w:rPr>
          <w:rFonts w:hint="eastAsia"/>
          <w:color w:val="auto"/>
        </w:rPr>
        <w:t>人法人机构发生合法变更或重组或法人名称变更时，应提供相关部门的合法批件扫描件或其他相关证明材料扫描件来证明其所</w:t>
      </w:r>
      <w:r>
        <w:rPr>
          <w:rFonts w:hint="eastAsia"/>
          <w:color w:val="auto"/>
          <w:szCs w:val="21"/>
        </w:rPr>
        <w:t>附业绩的继承性。</w:t>
      </w:r>
    </w:p>
    <w:p w14:paraId="1EACC892">
      <w:pPr>
        <w:ind w:firstLine="480" w:firstLineChars="200"/>
        <w:rPr>
          <w:rFonts w:ascii="黑体" w:eastAsia="黑体"/>
          <w:color w:val="auto"/>
          <w:sz w:val="24"/>
        </w:rPr>
      </w:pPr>
    </w:p>
    <w:p w14:paraId="6597388B">
      <w:pPr>
        <w:pStyle w:val="2"/>
        <w:rPr>
          <w:color w:val="auto"/>
        </w:rPr>
      </w:pPr>
    </w:p>
    <w:p w14:paraId="75610C7A">
      <w:pPr>
        <w:jc w:val="center"/>
        <w:rPr>
          <w:color w:val="auto"/>
          <w:sz w:val="24"/>
        </w:rPr>
      </w:pPr>
      <w:r>
        <w:rPr>
          <w:rFonts w:hint="eastAsia" w:ascii="黑体" w:eastAsia="黑体"/>
          <w:color w:val="auto"/>
          <w:sz w:val="24"/>
        </w:rPr>
        <w:t>附录</w:t>
      </w:r>
      <w:r>
        <w:rPr>
          <w:rFonts w:hint="eastAsia" w:eastAsia="黑体"/>
          <w:color w:val="auto"/>
          <w:sz w:val="24"/>
        </w:rPr>
        <w:t>3</w:t>
      </w:r>
      <w:r>
        <w:rPr>
          <w:rFonts w:hint="eastAsia" w:ascii="黑体" w:eastAsia="黑体"/>
          <w:color w:val="auto"/>
          <w:sz w:val="24"/>
        </w:rPr>
        <w:t>资格审查条件（信誉最低要求）</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5B67EF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2" w:hRule="atLeast"/>
          <w:tblHeader/>
          <w:jc w:val="center"/>
        </w:trPr>
        <w:tc>
          <w:tcPr>
            <w:tcW w:w="9072" w:type="dxa"/>
            <w:vAlign w:val="center"/>
          </w:tcPr>
          <w:p w14:paraId="27289850">
            <w:pPr>
              <w:jc w:val="center"/>
              <w:rPr>
                <w:color w:val="auto"/>
                <w:sz w:val="22"/>
                <w:szCs w:val="22"/>
              </w:rPr>
            </w:pPr>
            <w:r>
              <w:rPr>
                <w:rFonts w:hint="eastAsia"/>
                <w:color w:val="auto"/>
                <w:sz w:val="22"/>
                <w:szCs w:val="22"/>
              </w:rPr>
              <w:t>信 誉 要 求</w:t>
            </w:r>
          </w:p>
        </w:tc>
      </w:tr>
      <w:tr w14:paraId="65F508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9072" w:type="dxa"/>
            <w:vAlign w:val="center"/>
          </w:tcPr>
          <w:p w14:paraId="3D593BE8">
            <w:pPr>
              <w:spacing w:line="276" w:lineRule="auto"/>
              <w:ind w:firstLine="210" w:firstLineChars="100"/>
              <w:jc w:val="left"/>
              <w:rPr>
                <w:color w:val="auto"/>
              </w:rPr>
            </w:pPr>
            <w:r>
              <w:rPr>
                <w:rFonts w:hint="eastAsia"/>
                <w:color w:val="auto"/>
              </w:rPr>
              <w:t>1.</w:t>
            </w:r>
            <w:r>
              <w:rPr>
                <w:rFonts w:hint="eastAsia"/>
                <w:color w:val="auto"/>
                <w:lang w:val="en-US" w:eastAsia="zh-CN"/>
              </w:rPr>
              <w:t>响应</w:t>
            </w:r>
            <w:r>
              <w:rPr>
                <w:rFonts w:hint="eastAsia"/>
                <w:color w:val="auto"/>
              </w:rPr>
              <w:t>人、法定代表人近三年内无行贿犯罪行为。</w:t>
            </w:r>
          </w:p>
          <w:p w14:paraId="235C112B">
            <w:pPr>
              <w:spacing w:line="276" w:lineRule="auto"/>
              <w:ind w:firstLine="210" w:firstLineChars="100"/>
              <w:jc w:val="left"/>
              <w:rPr>
                <w:color w:val="auto"/>
              </w:rPr>
            </w:pPr>
            <w:r>
              <w:rPr>
                <w:rFonts w:hint="eastAsia"/>
                <w:color w:val="auto"/>
              </w:rPr>
              <w:t>2.</w:t>
            </w:r>
            <w:r>
              <w:rPr>
                <w:rFonts w:hint="eastAsia"/>
                <w:color w:val="auto"/>
                <w:lang w:val="en-US" w:eastAsia="zh-CN"/>
              </w:rPr>
              <w:t>响应</w:t>
            </w:r>
            <w:r>
              <w:rPr>
                <w:rFonts w:hint="eastAsia"/>
                <w:color w:val="auto"/>
              </w:rPr>
              <w:t>人未被人民法院列入失信被执行人（以“信用中国”官网www.creditchina.gov.cn查询为准）。</w:t>
            </w:r>
          </w:p>
          <w:p w14:paraId="1E0B68F4">
            <w:pPr>
              <w:spacing w:line="276" w:lineRule="auto"/>
              <w:ind w:firstLine="210" w:firstLineChars="100"/>
              <w:jc w:val="left"/>
              <w:rPr>
                <w:color w:val="auto"/>
              </w:rPr>
            </w:pPr>
            <w:r>
              <w:rPr>
                <w:rFonts w:hint="eastAsia"/>
                <w:color w:val="auto"/>
              </w:rPr>
              <w:t>3</w:t>
            </w:r>
            <w:r>
              <w:rPr>
                <w:rFonts w:hint="eastAsia"/>
                <w:color w:val="auto"/>
                <w:lang w:val="en-US" w:eastAsia="zh-CN"/>
              </w:rPr>
              <w:t>响应</w:t>
            </w:r>
            <w:r>
              <w:rPr>
                <w:rFonts w:hint="eastAsia"/>
                <w:color w:val="auto"/>
              </w:rPr>
              <w:t>人没有正受到责令停业，暂扣或吊销执照，或吊销资质证书。</w:t>
            </w:r>
          </w:p>
          <w:p w14:paraId="36C6134F">
            <w:pPr>
              <w:spacing w:line="276" w:lineRule="auto"/>
              <w:ind w:firstLine="210" w:firstLineChars="100"/>
              <w:jc w:val="left"/>
              <w:rPr>
                <w:color w:val="auto"/>
              </w:rPr>
            </w:pPr>
            <w:r>
              <w:rPr>
                <w:rFonts w:hint="eastAsia"/>
                <w:color w:val="auto"/>
              </w:rPr>
              <w:t>4.没有进入清算程序，或被宣告破产，或其他丧失履约能力的情形。</w:t>
            </w:r>
          </w:p>
          <w:p w14:paraId="67DFA027">
            <w:pPr>
              <w:spacing w:line="276" w:lineRule="auto"/>
              <w:ind w:firstLine="210" w:firstLineChars="100"/>
              <w:jc w:val="left"/>
              <w:rPr>
                <w:color w:val="auto"/>
              </w:rPr>
            </w:pPr>
            <w:r>
              <w:rPr>
                <w:rFonts w:hint="eastAsia"/>
                <w:color w:val="auto"/>
              </w:rPr>
              <w:t>5.没有在国家企业信用信息公示系统（www.gsxt.gov.cn）中被列入严重违法失信企业名单。</w:t>
            </w:r>
          </w:p>
          <w:p w14:paraId="090FEBF0">
            <w:pPr>
              <w:spacing w:line="276" w:lineRule="auto"/>
              <w:ind w:firstLine="210" w:firstLineChars="100"/>
              <w:jc w:val="left"/>
              <w:rPr>
                <w:color w:val="auto"/>
              </w:rPr>
            </w:pPr>
            <w:r>
              <w:rPr>
                <w:rFonts w:hint="eastAsia"/>
                <w:color w:val="auto"/>
              </w:rPr>
              <w:t>6.没有法律法规规定的其他情形。</w:t>
            </w:r>
          </w:p>
          <w:p w14:paraId="42DAFBA7">
            <w:pPr>
              <w:pStyle w:val="33"/>
              <w:rPr>
                <w:color w:val="auto"/>
              </w:rPr>
            </w:pPr>
          </w:p>
        </w:tc>
      </w:tr>
    </w:tbl>
    <w:p w14:paraId="3DC69AE9">
      <w:pPr>
        <w:jc w:val="center"/>
        <w:rPr>
          <w:rFonts w:hint="eastAsia" w:ascii="黑体" w:eastAsia="黑体"/>
          <w:color w:val="auto"/>
          <w:sz w:val="24"/>
          <w:szCs w:val="24"/>
          <w:highlight w:val="none"/>
        </w:rPr>
      </w:pPr>
    </w:p>
    <w:p w14:paraId="44A6A2EF">
      <w:pPr>
        <w:jc w:val="center"/>
        <w:rPr>
          <w:rFonts w:hint="eastAsia" w:ascii="黑体" w:eastAsia="黑体"/>
          <w:color w:val="auto"/>
          <w:sz w:val="24"/>
          <w:szCs w:val="24"/>
          <w:highlight w:val="none"/>
        </w:rPr>
      </w:pPr>
    </w:p>
    <w:p w14:paraId="4A60A601">
      <w:pPr>
        <w:keepNext/>
        <w:keepLines/>
        <w:spacing w:before="156" w:beforeLines="50" w:after="156" w:afterLines="50" w:line="360" w:lineRule="auto"/>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 总则</w:t>
      </w:r>
    </w:p>
    <w:p w14:paraId="78CD467B">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1.1 质量要求</w:t>
      </w:r>
    </w:p>
    <w:p w14:paraId="7615DFE1">
      <w:pPr>
        <w:spacing w:line="440" w:lineRule="exact"/>
        <w:ind w:firstLine="420"/>
        <w:rPr>
          <w:rFonts w:ascii="Times New Roman" w:hAnsi="Times New Roman" w:cs="Times New Roman"/>
          <w:color w:val="auto"/>
          <w:szCs w:val="21"/>
        </w:rPr>
      </w:pPr>
      <w:r>
        <w:rPr>
          <w:rFonts w:ascii="Times New Roman" w:hAnsi="Times New Roman" w:cs="Times New Roman"/>
          <w:color w:val="auto"/>
          <w:szCs w:val="21"/>
        </w:rPr>
        <w:t>本合同包的质量要求：</w:t>
      </w:r>
      <w:r>
        <w:rPr>
          <w:rFonts w:hint="eastAsia" w:ascii="Times New Roman" w:hAnsi="Times New Roman" w:cs="Times New Roman"/>
          <w:color w:val="auto"/>
          <w:szCs w:val="21"/>
        </w:rPr>
        <w:t>见供应商须知前附表。</w:t>
      </w:r>
    </w:p>
    <w:p w14:paraId="403ABD0A">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2</w:t>
      </w:r>
      <w:r>
        <w:rPr>
          <w:rFonts w:ascii="Times New Roman" w:hAnsi="Times New Roman" w:eastAsia="黑体" w:cs="Times New Roman"/>
          <w:bCs/>
          <w:color w:val="auto"/>
          <w:sz w:val="24"/>
          <w:szCs w:val="32"/>
        </w:rPr>
        <w:t xml:space="preserve"> 供应商资格要求</w:t>
      </w:r>
    </w:p>
    <w:p w14:paraId="2872FDAE">
      <w:pPr>
        <w:spacing w:line="440" w:lineRule="exact"/>
        <w:ind w:firstLine="420"/>
        <w:rPr>
          <w:rFonts w:hint="eastAsia" w:ascii="Times New Roman" w:hAnsi="Times New Roman" w:cs="Times New Roman" w:eastAsiaTheme="minorEastAsia"/>
          <w:color w:val="auto"/>
          <w:szCs w:val="21"/>
          <w:lang w:val="en-US" w:eastAsia="zh-CN"/>
        </w:rPr>
      </w:pPr>
      <w:r>
        <w:rPr>
          <w:rFonts w:ascii="Times New Roman" w:hAnsi="Times New Roman" w:cs="Times New Roman"/>
          <w:color w:val="auto"/>
          <w:szCs w:val="21"/>
        </w:rPr>
        <w:t>1.</w:t>
      </w:r>
      <w:r>
        <w:rPr>
          <w:rFonts w:hint="eastAsia" w:ascii="Times New Roman" w:hAnsi="Times New Roman" w:cs="Times New Roman"/>
          <w:color w:val="auto"/>
          <w:szCs w:val="21"/>
        </w:rPr>
        <w:t>2</w:t>
      </w:r>
      <w:r>
        <w:rPr>
          <w:rFonts w:ascii="Times New Roman" w:hAnsi="Times New Roman" w:cs="Times New Roman"/>
          <w:color w:val="auto"/>
          <w:szCs w:val="21"/>
        </w:rPr>
        <w:t>.1</w:t>
      </w:r>
      <w:r>
        <w:rPr>
          <w:rFonts w:hint="eastAsia" w:ascii="Times New Roman" w:hAnsi="Times New Roman" w:cs="Times New Roman"/>
          <w:color w:val="auto"/>
          <w:szCs w:val="21"/>
        </w:rPr>
        <w:t xml:space="preserve"> </w:t>
      </w:r>
      <w:r>
        <w:rPr>
          <w:rFonts w:ascii="Times New Roman" w:hAnsi="Times New Roman" w:cs="Times New Roman"/>
          <w:color w:val="auto"/>
          <w:szCs w:val="21"/>
        </w:rPr>
        <w:t>供应商应具备承担本合同包</w:t>
      </w:r>
      <w:r>
        <w:rPr>
          <w:rFonts w:hint="eastAsia" w:ascii="Times New Roman" w:hAnsi="Times New Roman" w:cs="Times New Roman"/>
          <w:color w:val="auto"/>
          <w:szCs w:val="21"/>
        </w:rPr>
        <w:t>供货</w:t>
      </w:r>
      <w:r>
        <w:rPr>
          <w:rFonts w:ascii="Times New Roman" w:hAnsi="Times New Roman" w:cs="Times New Roman"/>
          <w:color w:val="auto"/>
          <w:szCs w:val="21"/>
        </w:rPr>
        <w:t xml:space="preserve">的资质条件、能力和信誉：见第一章 </w:t>
      </w:r>
      <w:r>
        <w:rPr>
          <w:rFonts w:hint="eastAsia" w:ascii="Times New Roman" w:hAnsi="Times New Roman" w:cs="Times New Roman"/>
          <w:color w:val="auto"/>
          <w:szCs w:val="21"/>
        </w:rPr>
        <w:t>采购公告要求</w:t>
      </w:r>
      <w:r>
        <w:rPr>
          <w:rFonts w:ascii="Times New Roman" w:hAnsi="Times New Roman" w:cs="Times New Roman"/>
          <w:color w:val="auto"/>
          <w:szCs w:val="21"/>
        </w:rPr>
        <w:t>。</w:t>
      </w:r>
      <w:r>
        <w:rPr>
          <w:rFonts w:hint="eastAsia" w:ascii="Times New Roman" w:hAnsi="Times New Roman" w:cs="Times New Roman"/>
          <w:color w:val="auto"/>
          <w:szCs w:val="21"/>
          <w:lang w:val="en-US" w:eastAsia="zh-CN"/>
        </w:rPr>
        <w:t xml:space="preserve"> </w:t>
      </w:r>
    </w:p>
    <w:p w14:paraId="5E7AB5E7">
      <w:pPr>
        <w:spacing w:line="440" w:lineRule="exact"/>
        <w:ind w:firstLine="420"/>
        <w:rPr>
          <w:rFonts w:ascii="Times New Roman" w:hAnsi="Times New Roman" w:cs="Times New Roman"/>
          <w:color w:val="auto"/>
          <w:szCs w:val="21"/>
        </w:rPr>
      </w:pPr>
      <w:r>
        <w:rPr>
          <w:rFonts w:ascii="Times New Roman" w:hAnsi="Times New Roman" w:cs="Times New Roman"/>
          <w:color w:val="auto"/>
          <w:szCs w:val="21"/>
        </w:rPr>
        <w:t>1.</w:t>
      </w:r>
      <w:r>
        <w:rPr>
          <w:rFonts w:hint="eastAsia" w:ascii="Times New Roman" w:hAnsi="Times New Roman" w:cs="Times New Roman"/>
          <w:color w:val="auto"/>
          <w:szCs w:val="21"/>
        </w:rPr>
        <w:t>2</w:t>
      </w:r>
      <w:r>
        <w:rPr>
          <w:rFonts w:ascii="Times New Roman" w:hAnsi="Times New Roman" w:cs="Times New Roman"/>
          <w:color w:val="auto"/>
          <w:szCs w:val="21"/>
        </w:rPr>
        <w:t>.</w:t>
      </w:r>
      <w:r>
        <w:rPr>
          <w:rFonts w:hint="eastAsia" w:ascii="Times New Roman" w:hAnsi="Times New Roman" w:cs="Times New Roman"/>
          <w:color w:val="auto"/>
          <w:szCs w:val="21"/>
        </w:rPr>
        <w:t>2</w:t>
      </w:r>
      <w:r>
        <w:rPr>
          <w:rFonts w:ascii="Times New Roman" w:hAnsi="Times New Roman" w:cs="Times New Roman"/>
          <w:color w:val="auto"/>
          <w:szCs w:val="21"/>
        </w:rPr>
        <w:t xml:space="preserve"> 其他</w:t>
      </w:r>
      <w:r>
        <w:rPr>
          <w:rFonts w:hint="eastAsia" w:ascii="Times New Roman" w:hAnsi="Times New Roman" w:cs="Times New Roman"/>
          <w:color w:val="auto"/>
          <w:szCs w:val="21"/>
        </w:rPr>
        <w:t>要求：见供应商须知前附表</w:t>
      </w:r>
      <w:r>
        <w:rPr>
          <w:rFonts w:ascii="Times New Roman" w:hAnsi="Times New Roman" w:cs="Times New Roman"/>
          <w:color w:val="auto"/>
          <w:szCs w:val="21"/>
        </w:rPr>
        <w:t>。</w:t>
      </w:r>
    </w:p>
    <w:p w14:paraId="54E35436">
      <w:pPr>
        <w:spacing w:line="440" w:lineRule="exact"/>
        <w:ind w:firstLine="420"/>
        <w:rPr>
          <w:rFonts w:ascii="Times New Roman" w:hAnsi="Times New Roman" w:cs="Times New Roman"/>
          <w:color w:val="auto"/>
          <w:szCs w:val="21"/>
        </w:rPr>
      </w:pPr>
      <w:r>
        <w:rPr>
          <w:rFonts w:hint="eastAsia" w:ascii="Times New Roman" w:hAnsi="Times New Roman" w:cs="Times New Roman"/>
          <w:color w:val="auto"/>
          <w:szCs w:val="21"/>
          <w:lang w:val="en-US" w:eastAsia="zh-CN"/>
        </w:rPr>
        <w:t>1.2.3 是否接受联合体响应</w:t>
      </w:r>
      <w:r>
        <w:rPr>
          <w:rFonts w:hint="eastAsia" w:ascii="Times New Roman" w:hAnsi="Times New Roman" w:cs="Times New Roman"/>
          <w:color w:val="auto"/>
          <w:szCs w:val="21"/>
        </w:rPr>
        <w:t>：见供应商须知前附表</w:t>
      </w:r>
      <w:r>
        <w:rPr>
          <w:rFonts w:ascii="Times New Roman" w:hAnsi="Times New Roman" w:cs="Times New Roman"/>
          <w:color w:val="auto"/>
          <w:szCs w:val="21"/>
        </w:rPr>
        <w:t>。</w:t>
      </w:r>
    </w:p>
    <w:p w14:paraId="24A159E1">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3</w:t>
      </w:r>
      <w:r>
        <w:rPr>
          <w:rFonts w:ascii="Times New Roman" w:hAnsi="Times New Roman" w:eastAsia="黑体" w:cs="Times New Roman"/>
          <w:bCs/>
          <w:color w:val="auto"/>
          <w:sz w:val="24"/>
          <w:szCs w:val="32"/>
        </w:rPr>
        <w:t xml:space="preserve"> 费用承担</w:t>
      </w:r>
    </w:p>
    <w:p w14:paraId="5D01C2FC">
      <w:pPr>
        <w:spacing w:line="440" w:lineRule="exact"/>
        <w:ind w:firstLine="420"/>
        <w:rPr>
          <w:rFonts w:ascii="Times New Roman" w:hAnsi="Times New Roman" w:cs="Times New Roman"/>
          <w:color w:val="auto"/>
          <w:szCs w:val="21"/>
        </w:rPr>
      </w:pPr>
      <w:r>
        <w:rPr>
          <w:rFonts w:hint="eastAsia" w:ascii="Times New Roman" w:hAnsi="Times New Roman" w:cs="Times New Roman"/>
          <w:color w:val="auto"/>
          <w:szCs w:val="21"/>
        </w:rPr>
        <w:t>供应商准备和参加询比活动发生的费用自理。</w:t>
      </w:r>
    </w:p>
    <w:p w14:paraId="27A22ADE">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4</w:t>
      </w:r>
      <w:r>
        <w:rPr>
          <w:rFonts w:ascii="Times New Roman" w:hAnsi="Times New Roman" w:eastAsia="黑体" w:cs="Times New Roman"/>
          <w:bCs/>
          <w:color w:val="auto"/>
          <w:sz w:val="24"/>
          <w:szCs w:val="32"/>
        </w:rPr>
        <w:t xml:space="preserve"> 保密</w:t>
      </w:r>
    </w:p>
    <w:p w14:paraId="13536104">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参与询比活动的各方应对询比文件和响应文件中的商业和技术等秘密保密，否则应承担相应的法律责任。</w:t>
      </w:r>
    </w:p>
    <w:p w14:paraId="00BD8C2E">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5</w:t>
      </w:r>
      <w:r>
        <w:rPr>
          <w:rFonts w:ascii="Times New Roman" w:hAnsi="Times New Roman" w:eastAsia="黑体" w:cs="Times New Roman"/>
          <w:bCs/>
          <w:color w:val="auto"/>
          <w:sz w:val="24"/>
          <w:szCs w:val="32"/>
        </w:rPr>
        <w:t xml:space="preserve"> 计量单位</w:t>
      </w:r>
    </w:p>
    <w:p w14:paraId="02B77D42">
      <w:pPr>
        <w:spacing w:line="440" w:lineRule="exact"/>
        <w:ind w:firstLine="420"/>
        <w:rPr>
          <w:rFonts w:ascii="Times New Roman" w:hAnsi="Times New Roman" w:cs="Times New Roman"/>
          <w:color w:val="auto"/>
        </w:rPr>
      </w:pPr>
      <w:r>
        <w:rPr>
          <w:rFonts w:ascii="Times New Roman" w:hAnsi="Times New Roman" w:cs="Times New Roman"/>
          <w:color w:val="auto"/>
        </w:rPr>
        <w:t>所有计量均采用中华人民共和国法定计量单位。</w:t>
      </w:r>
    </w:p>
    <w:p w14:paraId="544CF776">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6</w:t>
      </w:r>
      <w:r>
        <w:rPr>
          <w:rFonts w:ascii="Times New Roman" w:hAnsi="Times New Roman" w:eastAsia="黑体" w:cs="Times New Roman"/>
          <w:bCs/>
          <w:color w:val="auto"/>
          <w:sz w:val="24"/>
          <w:szCs w:val="32"/>
        </w:rPr>
        <w:t xml:space="preserve"> 踏勘现场</w:t>
      </w:r>
    </w:p>
    <w:p w14:paraId="27BE4ED5">
      <w:pPr>
        <w:spacing w:line="440" w:lineRule="exact"/>
        <w:ind w:firstLine="420"/>
        <w:rPr>
          <w:rFonts w:ascii="Times New Roman" w:hAnsi="Times New Roman" w:cs="Times New Roman"/>
          <w:color w:val="auto"/>
        </w:rPr>
      </w:pPr>
      <w:r>
        <w:rPr>
          <w:rFonts w:ascii="Times New Roman" w:hAnsi="Times New Roman" w:cs="Times New Roman"/>
          <w:color w:val="auto"/>
        </w:rPr>
        <w:t>供应商</w:t>
      </w:r>
      <w:r>
        <w:rPr>
          <w:rFonts w:hint="eastAsia" w:ascii="Times New Roman" w:hAnsi="Times New Roman" w:cs="Times New Roman"/>
          <w:color w:val="auto"/>
        </w:rPr>
        <w:t>自行</w:t>
      </w:r>
      <w:r>
        <w:rPr>
          <w:rFonts w:ascii="Times New Roman" w:hAnsi="Times New Roman" w:cs="Times New Roman"/>
          <w:color w:val="auto"/>
        </w:rPr>
        <w:t>踏勘现场</w:t>
      </w:r>
      <w:r>
        <w:rPr>
          <w:rFonts w:hint="eastAsia" w:ascii="Times New Roman" w:hAnsi="Times New Roman" w:cs="Times New Roman"/>
          <w:color w:val="auto"/>
        </w:rPr>
        <w:t>且</w:t>
      </w:r>
      <w:r>
        <w:rPr>
          <w:rFonts w:ascii="Times New Roman" w:hAnsi="Times New Roman" w:cs="Times New Roman"/>
          <w:color w:val="auto"/>
        </w:rPr>
        <w:t>费用自理。</w:t>
      </w:r>
    </w:p>
    <w:p w14:paraId="4AE30E41">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7</w:t>
      </w:r>
      <w:r>
        <w:rPr>
          <w:rFonts w:ascii="Times New Roman" w:hAnsi="Times New Roman" w:eastAsia="黑体" w:cs="Times New Roman"/>
          <w:bCs/>
          <w:color w:val="auto"/>
          <w:sz w:val="24"/>
          <w:szCs w:val="32"/>
        </w:rPr>
        <w:t xml:space="preserve"> 分包</w:t>
      </w:r>
    </w:p>
    <w:p w14:paraId="03A6BB65">
      <w:pPr>
        <w:spacing w:line="440" w:lineRule="exact"/>
        <w:ind w:firstLine="420"/>
        <w:rPr>
          <w:rFonts w:ascii="Times New Roman" w:hAnsi="Times New Roman" w:cs="Times New Roman"/>
          <w:color w:val="auto"/>
        </w:rPr>
      </w:pPr>
      <w:r>
        <w:rPr>
          <w:rFonts w:hint="eastAsia" w:ascii="Times New Roman" w:hAnsi="Times New Roman" w:cs="Times New Roman"/>
          <w:color w:val="auto"/>
        </w:rPr>
        <w:t>不允许分包。</w:t>
      </w:r>
    </w:p>
    <w:p w14:paraId="2E6FB4C2">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8</w:t>
      </w:r>
      <w:r>
        <w:rPr>
          <w:rFonts w:ascii="Times New Roman" w:hAnsi="Times New Roman" w:eastAsia="黑体" w:cs="Times New Roman"/>
          <w:bCs/>
          <w:color w:val="auto"/>
          <w:sz w:val="24"/>
          <w:szCs w:val="32"/>
        </w:rPr>
        <w:t xml:space="preserve"> 偏</w:t>
      </w:r>
      <w:r>
        <w:rPr>
          <w:rFonts w:hint="eastAsia" w:ascii="Times New Roman" w:hAnsi="Times New Roman" w:eastAsia="黑体" w:cs="Times New Roman"/>
          <w:bCs/>
          <w:color w:val="auto"/>
          <w:sz w:val="24"/>
          <w:szCs w:val="32"/>
        </w:rPr>
        <w:t>差</w:t>
      </w:r>
    </w:p>
    <w:p w14:paraId="0E76509E">
      <w:pPr>
        <w:spacing w:line="440" w:lineRule="exact"/>
        <w:ind w:firstLine="420"/>
        <w:rPr>
          <w:rFonts w:ascii="Times New Roman" w:hAnsi="Times New Roman" w:cs="Times New Roman"/>
          <w:color w:val="auto"/>
        </w:rPr>
      </w:pPr>
      <w:r>
        <w:rPr>
          <w:rFonts w:ascii="Times New Roman" w:hAnsi="Times New Roman" w:cs="Times New Roman"/>
          <w:color w:val="auto"/>
        </w:rPr>
        <w:t>1.</w:t>
      </w:r>
      <w:r>
        <w:rPr>
          <w:rFonts w:hint="eastAsia" w:ascii="Times New Roman" w:hAnsi="Times New Roman" w:cs="Times New Roman"/>
          <w:color w:val="auto"/>
        </w:rPr>
        <w:t>8</w:t>
      </w:r>
      <w:r>
        <w:rPr>
          <w:rFonts w:ascii="Times New Roman" w:hAnsi="Times New Roman" w:cs="Times New Roman"/>
          <w:color w:val="auto"/>
        </w:rPr>
        <w:t>.1</w:t>
      </w:r>
      <w:r>
        <w:rPr>
          <w:rFonts w:hint="eastAsia" w:ascii="Times New Roman" w:hAnsi="Times New Roman" w:cs="Times New Roman"/>
          <w:color w:val="auto"/>
        </w:rPr>
        <w:t xml:space="preserve"> </w:t>
      </w:r>
      <w:r>
        <w:rPr>
          <w:rFonts w:ascii="Times New Roman" w:hAnsi="Times New Roman" w:cs="Times New Roman"/>
          <w:color w:val="auto"/>
        </w:rPr>
        <w:t>偏差包括重大偏差和细微偏差。</w:t>
      </w:r>
    </w:p>
    <w:p w14:paraId="6BFF8494">
      <w:pPr>
        <w:spacing w:line="440" w:lineRule="exact"/>
        <w:ind w:firstLine="420"/>
        <w:rPr>
          <w:rFonts w:ascii="Times New Roman" w:hAnsi="Times New Roman" w:cs="Times New Roman"/>
          <w:color w:val="auto"/>
        </w:rPr>
      </w:pPr>
      <w:r>
        <w:rPr>
          <w:rFonts w:ascii="Times New Roman" w:hAnsi="Times New Roman" w:cs="Times New Roman"/>
          <w:color w:val="auto"/>
        </w:rPr>
        <w:t>1.</w:t>
      </w:r>
      <w:r>
        <w:rPr>
          <w:rFonts w:hint="eastAsia" w:ascii="Times New Roman" w:hAnsi="Times New Roman" w:cs="Times New Roman"/>
          <w:color w:val="auto"/>
        </w:rPr>
        <w:t>8</w:t>
      </w:r>
      <w:r>
        <w:rPr>
          <w:rFonts w:ascii="Times New Roman" w:hAnsi="Times New Roman" w:cs="Times New Roman"/>
          <w:color w:val="auto"/>
        </w:rPr>
        <w:t>.2 响应文件存在“评审办法”中所列任一否决</w:t>
      </w:r>
      <w:r>
        <w:rPr>
          <w:rFonts w:hint="eastAsia" w:ascii="Times New Roman" w:hAnsi="Times New Roman" w:cs="Times New Roman"/>
          <w:color w:val="auto"/>
        </w:rPr>
        <w:t>响应文件</w:t>
      </w:r>
      <w:r>
        <w:rPr>
          <w:rFonts w:ascii="Times New Roman" w:hAnsi="Times New Roman" w:cs="Times New Roman"/>
          <w:color w:val="auto"/>
        </w:rPr>
        <w:t>情形的，均属于存在重大偏差</w:t>
      </w:r>
      <w:r>
        <w:rPr>
          <w:rFonts w:hint="eastAsia" w:ascii="Times New Roman" w:hAnsi="Times New Roman" w:cs="Times New Roman"/>
          <w:color w:val="auto"/>
        </w:rPr>
        <w:t>，响应文件将被否决</w:t>
      </w:r>
      <w:r>
        <w:rPr>
          <w:rFonts w:ascii="Times New Roman" w:hAnsi="Times New Roman" w:cs="Times New Roman"/>
          <w:color w:val="auto"/>
        </w:rPr>
        <w:t>。</w:t>
      </w:r>
    </w:p>
    <w:p w14:paraId="448E1109">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2. 询比文件</w:t>
      </w:r>
    </w:p>
    <w:p w14:paraId="19305612">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2.1 询比文件的组成</w:t>
      </w:r>
    </w:p>
    <w:p w14:paraId="6E62B52C">
      <w:pPr>
        <w:spacing w:line="440" w:lineRule="exact"/>
        <w:ind w:firstLine="420"/>
        <w:rPr>
          <w:rFonts w:ascii="Times New Roman" w:hAnsi="Times New Roman" w:cs="Times New Roman"/>
          <w:color w:val="auto"/>
        </w:rPr>
      </w:pPr>
      <w:r>
        <w:rPr>
          <w:rFonts w:ascii="Times New Roman" w:hAnsi="Times New Roman" w:cs="Times New Roman"/>
          <w:color w:val="auto"/>
        </w:rPr>
        <w:t>本询比文件包括：</w:t>
      </w:r>
    </w:p>
    <w:p w14:paraId="5BCD418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采购公告</w:t>
      </w:r>
      <w:r>
        <w:rPr>
          <w:rFonts w:ascii="Times New Roman" w:hAnsi="Times New Roman" w:cs="Times New Roman"/>
          <w:color w:val="auto"/>
          <w:highlight w:val="none"/>
        </w:rPr>
        <w:t>；</w:t>
      </w:r>
    </w:p>
    <w:p w14:paraId="6C57010D">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（2）供应商须知；</w:t>
      </w:r>
    </w:p>
    <w:p w14:paraId="60D02DFB">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（3）评审办法；</w:t>
      </w:r>
    </w:p>
    <w:p w14:paraId="2D80E381">
      <w:pPr>
        <w:spacing w:line="440" w:lineRule="exact"/>
        <w:ind w:firstLine="420"/>
        <w:rPr>
          <w:rFonts w:ascii="Times New Roman" w:hAnsi="Times New Roman" w:eastAsia="宋体" w:cs="Times New Roman"/>
          <w:color w:val="auto"/>
          <w:highlight w:val="none"/>
        </w:rPr>
      </w:pPr>
      <w:r>
        <w:rPr>
          <w:rFonts w:ascii="Times New Roman" w:hAnsi="Times New Roman" w:cs="Times New Roman"/>
          <w:color w:val="auto"/>
          <w:highlight w:val="none"/>
        </w:rPr>
        <w:t>（4）合同内容</w:t>
      </w:r>
      <w:r>
        <w:rPr>
          <w:rFonts w:hint="eastAsia" w:ascii="Times New Roman" w:hAnsi="Times New Roman" w:eastAsia="宋体" w:cs="Times New Roman"/>
          <w:color w:val="auto"/>
          <w:highlight w:val="none"/>
        </w:rPr>
        <w:t>；</w:t>
      </w:r>
    </w:p>
    <w:p w14:paraId="44A4A63A">
      <w:pPr>
        <w:spacing w:line="440" w:lineRule="exact"/>
        <w:ind w:firstLine="420"/>
        <w:rPr>
          <w:rFonts w:ascii="Times New Roman" w:hAnsi="Times New Roman" w:cs="Times New Roman"/>
          <w:color w:val="auto"/>
          <w:highlight w:val="none"/>
        </w:rPr>
      </w:pPr>
      <w:r>
        <w:rPr>
          <w:rFonts w:hint="eastAsia" w:ascii="Times New Roman" w:hAnsi="Times New Roman" w:eastAsia="宋体" w:cs="Times New Roman"/>
          <w:color w:val="auto"/>
          <w:highlight w:val="none"/>
        </w:rPr>
        <w:t>（5）供货要求</w:t>
      </w:r>
      <w:r>
        <w:rPr>
          <w:rFonts w:hint="eastAsia" w:ascii="Times New Roman" w:hAnsi="Times New Roman" w:eastAsia="宋体" w:cs="Times New Roman"/>
          <w:color w:val="auto"/>
          <w:highlight w:val="none"/>
          <w:lang w:val="en-US" w:eastAsia="zh-CN"/>
        </w:rPr>
        <w:t>及清单</w:t>
      </w:r>
      <w:r>
        <w:rPr>
          <w:rFonts w:ascii="Times New Roman" w:hAnsi="Times New Roman" w:cs="Times New Roman"/>
          <w:color w:val="auto"/>
          <w:highlight w:val="none"/>
        </w:rPr>
        <w:t>；</w:t>
      </w:r>
    </w:p>
    <w:p w14:paraId="72A9706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rPr>
        <w:t>6</w:t>
      </w:r>
      <w:r>
        <w:rPr>
          <w:rFonts w:ascii="Times New Roman" w:hAnsi="Times New Roman" w:cs="Times New Roman"/>
          <w:color w:val="auto"/>
          <w:highlight w:val="none"/>
        </w:rPr>
        <w:t>）响应文件格式</w:t>
      </w:r>
      <w:r>
        <w:rPr>
          <w:rFonts w:hint="eastAsia" w:ascii="Times New Roman" w:hAnsi="Times New Roman" w:cs="Times New Roman"/>
          <w:color w:val="auto"/>
          <w:highlight w:val="none"/>
        </w:rPr>
        <w:t>。</w:t>
      </w:r>
    </w:p>
    <w:p w14:paraId="694B4988">
      <w:pPr>
        <w:spacing w:line="440" w:lineRule="exact"/>
        <w:ind w:firstLine="420"/>
        <w:rPr>
          <w:rFonts w:ascii="Times New Roman" w:hAnsi="Times New Roman" w:cs="Times New Roman"/>
          <w:color w:val="auto"/>
        </w:rPr>
      </w:pPr>
      <w:r>
        <w:rPr>
          <w:rFonts w:ascii="Times New Roman" w:hAnsi="Times New Roman" w:cs="Times New Roman"/>
          <w:color w:val="auto"/>
        </w:rPr>
        <w:t>根据本章对询比文件所作的澄清、修改，构成询比文件的组成部分。</w:t>
      </w:r>
    </w:p>
    <w:p w14:paraId="0850E650">
      <w:pPr>
        <w:spacing w:line="440" w:lineRule="exact"/>
        <w:ind w:firstLine="420"/>
        <w:rPr>
          <w:rFonts w:ascii="Times New Roman" w:hAnsi="Times New Roman" w:cs="Times New Roman"/>
          <w:color w:val="auto"/>
        </w:rPr>
      </w:pPr>
      <w:r>
        <w:rPr>
          <w:rFonts w:ascii="Times New Roman" w:hAnsi="Times New Roman" w:cs="Times New Roman"/>
          <w:color w:val="auto"/>
        </w:rPr>
        <w:t>当询比文件、询比文件的澄清或修改等在同一内容的表述上不一致时，以最后发出的书面文件为准。</w:t>
      </w:r>
    </w:p>
    <w:p w14:paraId="22A040DD">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2.2 询比文件的澄清</w:t>
      </w:r>
      <w:r>
        <w:rPr>
          <w:rFonts w:hint="eastAsia" w:ascii="Times New Roman" w:hAnsi="Times New Roman" w:eastAsia="黑体" w:cs="Times New Roman"/>
          <w:bCs/>
          <w:color w:val="auto"/>
          <w:sz w:val="24"/>
          <w:szCs w:val="32"/>
        </w:rPr>
        <w:t>与修改</w:t>
      </w:r>
    </w:p>
    <w:p w14:paraId="78E521CB">
      <w:pPr>
        <w:spacing w:line="440" w:lineRule="exact"/>
        <w:ind w:firstLine="420"/>
        <w:rPr>
          <w:rFonts w:ascii="Times New Roman" w:hAnsi="Times New Roman" w:cs="Times New Roman"/>
          <w:color w:val="auto"/>
          <w:highlight w:val="none"/>
        </w:rPr>
      </w:pPr>
      <w:r>
        <w:rPr>
          <w:rFonts w:ascii="Times New Roman" w:hAnsi="Times New Roman" w:cs="Times New Roman"/>
          <w:color w:val="auto"/>
        </w:rPr>
        <w:t>2.2.1</w:t>
      </w:r>
      <w:r>
        <w:rPr>
          <w:rFonts w:hint="eastAsia" w:ascii="Times New Roman" w:hAnsi="Times New Roman" w:cs="Times New Roman"/>
          <w:color w:val="auto"/>
        </w:rPr>
        <w:t xml:space="preserve"> </w:t>
      </w:r>
      <w:r>
        <w:rPr>
          <w:rFonts w:ascii="Times New Roman" w:hAnsi="Times New Roman" w:cs="Times New Roman"/>
          <w:color w:val="auto"/>
        </w:rPr>
        <w:t>供应商如有疑问，应在递交</w:t>
      </w:r>
      <w:r>
        <w:rPr>
          <w:rFonts w:hint="eastAsia" w:ascii="Times New Roman" w:hAnsi="Times New Roman" w:cs="Times New Roman"/>
          <w:color w:val="auto"/>
        </w:rPr>
        <w:t>响应</w:t>
      </w:r>
      <w:r>
        <w:rPr>
          <w:rFonts w:ascii="Times New Roman" w:hAnsi="Times New Roman" w:cs="Times New Roman"/>
          <w:color w:val="auto"/>
        </w:rPr>
        <w:t>文件的截止时间</w:t>
      </w:r>
      <w:r>
        <w:rPr>
          <w:rFonts w:hint="eastAsia" w:ascii="Times New Roman" w:hAnsi="Times New Roman" w:cs="Times New Roman"/>
          <w:color w:val="auto"/>
        </w:rPr>
        <w:t>前3日</w:t>
      </w:r>
      <w:r>
        <w:rPr>
          <w:rFonts w:ascii="Times New Roman" w:hAnsi="Times New Roman" w:cs="Times New Roman"/>
          <w:color w:val="auto"/>
        </w:rPr>
        <w:t>前</w:t>
      </w:r>
      <w:r>
        <w:rPr>
          <w:rFonts w:hint="eastAsia" w:ascii="Times New Roman" w:hAnsi="Times New Roman" w:cs="Times New Roman"/>
          <w:color w:val="auto"/>
        </w:rPr>
        <w:t>通过“</w:t>
      </w:r>
      <w:r>
        <w:rPr>
          <w:rFonts w:hint="eastAsia" w:ascii="Times New Roman" w:hAnsi="Times New Roman" w:cs="Times New Roman"/>
          <w:color w:val="auto"/>
          <w:lang w:eastAsia="zh-CN"/>
        </w:rPr>
        <w:t>安徽交控建设工程集团有限公司</w:t>
      </w:r>
      <w:r>
        <w:rPr>
          <w:rFonts w:hint="eastAsia" w:ascii="Times New Roman" w:hAnsi="Times New Roman" w:cs="Times New Roman"/>
          <w:color w:val="auto"/>
        </w:rPr>
        <w:t>”官网平台联系采购人</w:t>
      </w:r>
      <w:r>
        <w:rPr>
          <w:rFonts w:ascii="Times New Roman" w:hAnsi="Times New Roman" w:cs="Times New Roman"/>
          <w:color w:val="auto"/>
        </w:rPr>
        <w:t>对询比文件予以澄清</w:t>
      </w:r>
      <w:r>
        <w:rPr>
          <w:rFonts w:hint="eastAsia" w:ascii="Times New Roman" w:hAnsi="Times New Roman" w:cs="Times New Roman"/>
          <w:color w:val="auto"/>
        </w:rPr>
        <w:t>或修改</w:t>
      </w:r>
      <w:r>
        <w:rPr>
          <w:rFonts w:ascii="Times New Roman" w:hAnsi="Times New Roman" w:cs="Times New Roman"/>
          <w:color w:val="auto"/>
        </w:rPr>
        <w:t>。</w:t>
      </w:r>
    </w:p>
    <w:p w14:paraId="094E5BD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除非采购人认为确有必要答复，否则，采购人有权拒绝回复供应商在本章第2.2.1项规定的时间后提出的任何澄清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要求。</w:t>
      </w:r>
    </w:p>
    <w:p w14:paraId="1E25FA95">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 响应文件</w:t>
      </w:r>
    </w:p>
    <w:p w14:paraId="320AF7CD">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3.1响应文件的组成</w:t>
      </w:r>
    </w:p>
    <w:p w14:paraId="69D14CDC">
      <w:pPr>
        <w:spacing w:line="440" w:lineRule="exact"/>
        <w:ind w:firstLine="420"/>
        <w:rPr>
          <w:rFonts w:ascii="Times New Roman" w:hAnsi="Times New Roman" w:cs="Times New Roman"/>
          <w:color w:val="auto"/>
        </w:rPr>
      </w:pPr>
      <w:r>
        <w:rPr>
          <w:rFonts w:ascii="Times New Roman" w:hAnsi="Times New Roman" w:cs="Times New Roman"/>
          <w:color w:val="auto"/>
        </w:rPr>
        <w:t>响应文件应包括下列内容：</w:t>
      </w:r>
    </w:p>
    <w:p w14:paraId="2B430954">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1.报价函</w:t>
      </w:r>
    </w:p>
    <w:p w14:paraId="0F2DB97D">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2.</w:t>
      </w:r>
      <w:r>
        <w:rPr>
          <w:rFonts w:hint="eastAsia" w:ascii="宋体" w:hAnsi="宋体" w:eastAsia="宋体" w:cs="宋体"/>
          <w:color w:val="auto"/>
          <w:highlight w:val="none"/>
        </w:rPr>
        <w:t>法定代表人身份证明及授权委托书</w:t>
      </w:r>
    </w:p>
    <w:p w14:paraId="49294D1E">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3.已标价的报价清单</w:t>
      </w:r>
    </w:p>
    <w:p w14:paraId="605BED00">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4.供应商基本情况</w:t>
      </w:r>
    </w:p>
    <w:p w14:paraId="40904929">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5.近年类似业绩情况</w:t>
      </w:r>
    </w:p>
    <w:p w14:paraId="288E9D32">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6.信誉情况</w:t>
      </w:r>
    </w:p>
    <w:p w14:paraId="65A05C34">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7.其它材料</w:t>
      </w:r>
    </w:p>
    <w:p w14:paraId="40AAAC9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 xml:space="preserve">3.2 报价要求 </w:t>
      </w:r>
    </w:p>
    <w:p w14:paraId="6EAB5B11">
      <w:pPr>
        <w:spacing w:line="440" w:lineRule="exact"/>
        <w:ind w:firstLine="420"/>
        <w:rPr>
          <w:rFonts w:ascii="Times New Roman" w:hAnsi="Times New Roman" w:cs="Times New Roman"/>
          <w:color w:val="auto"/>
        </w:rPr>
      </w:pPr>
      <w:r>
        <w:rPr>
          <w:rFonts w:ascii="Times New Roman" w:hAnsi="Times New Roman" w:cs="Times New Roman"/>
          <w:color w:val="auto"/>
        </w:rPr>
        <w:t>3.2.1 报价应包括国家规定的增值税税金。</w:t>
      </w:r>
    </w:p>
    <w:p w14:paraId="3ED188F2">
      <w:pPr>
        <w:spacing w:line="440" w:lineRule="exact"/>
        <w:ind w:firstLine="420"/>
        <w:rPr>
          <w:rFonts w:ascii="Times New Roman" w:hAnsi="Times New Roman" w:cs="Times New Roman"/>
          <w:color w:val="auto"/>
        </w:rPr>
      </w:pPr>
      <w:r>
        <w:rPr>
          <w:rFonts w:hint="eastAsia" w:ascii="Times New Roman" w:hAnsi="Times New Roman" w:cs="Times New Roman"/>
          <w:color w:val="auto"/>
        </w:rPr>
        <w:t xml:space="preserve">3.2.2 </w:t>
      </w:r>
      <w:r>
        <w:rPr>
          <w:rFonts w:ascii="Times New Roman" w:hAnsi="Times New Roman" w:cs="Times New Roman"/>
          <w:color w:val="auto"/>
        </w:rPr>
        <w:t>供应商应按第六章“响应文件格式”的要求在报价函中进行报价并填写工程量清单相应表格</w:t>
      </w:r>
      <w:r>
        <w:rPr>
          <w:rFonts w:hint="eastAsia" w:ascii="Times New Roman" w:hAnsi="Times New Roman" w:cs="Times New Roman"/>
          <w:color w:val="auto"/>
        </w:rPr>
        <w:t>。</w:t>
      </w:r>
    </w:p>
    <w:p w14:paraId="077F89CE">
      <w:pPr>
        <w:spacing w:line="440" w:lineRule="exact"/>
        <w:ind w:firstLine="420"/>
        <w:rPr>
          <w:rFonts w:ascii="Times New Roman" w:hAnsi="Times New Roman" w:cs="Times New Roman"/>
          <w:color w:val="auto"/>
        </w:rPr>
      </w:pPr>
      <w:r>
        <w:rPr>
          <w:rFonts w:ascii="Times New Roman" w:hAnsi="Times New Roman" w:cs="Times New Roman"/>
          <w:color w:val="auto"/>
        </w:rPr>
        <w:t>3.2.</w:t>
      </w:r>
      <w:r>
        <w:rPr>
          <w:rFonts w:hint="eastAsia" w:ascii="Times New Roman" w:hAnsi="Times New Roman" w:cs="Times New Roman"/>
          <w:color w:val="auto"/>
        </w:rPr>
        <w:t>3</w:t>
      </w:r>
      <w:r>
        <w:rPr>
          <w:rFonts w:ascii="Times New Roman" w:hAnsi="Times New Roman" w:cs="Times New Roman"/>
          <w:color w:val="auto"/>
        </w:rPr>
        <w:t xml:space="preserve"> 采购人设有最高限价的，供应商的报价不得超过最高限价，</w:t>
      </w:r>
      <w:r>
        <w:rPr>
          <w:rFonts w:hint="eastAsia" w:ascii="Times New Roman" w:hAnsi="Times New Roman" w:cs="Times New Roman"/>
          <w:color w:val="auto"/>
        </w:rPr>
        <w:t>否则其报价将被否决，</w:t>
      </w:r>
      <w:r>
        <w:rPr>
          <w:rFonts w:ascii="Times New Roman" w:hAnsi="Times New Roman" w:cs="Times New Roman"/>
          <w:color w:val="auto"/>
        </w:rPr>
        <w:t>最高限价</w:t>
      </w:r>
      <w:r>
        <w:rPr>
          <w:rFonts w:hint="eastAsia" w:ascii="Times New Roman" w:hAnsi="Times New Roman" w:cs="Times New Roman"/>
          <w:color w:val="auto"/>
        </w:rPr>
        <w:t>见第一章</w:t>
      </w:r>
      <w:r>
        <w:rPr>
          <w:rFonts w:ascii="Times New Roman" w:hAnsi="Times New Roman" w:cs="Times New Roman"/>
          <w:color w:val="auto"/>
        </w:rPr>
        <w:t>“</w:t>
      </w:r>
      <w:r>
        <w:rPr>
          <w:rFonts w:hint="eastAsia" w:ascii="Times New Roman" w:hAnsi="Times New Roman" w:cs="Times New Roman"/>
          <w:color w:val="auto"/>
          <w:szCs w:val="21"/>
        </w:rPr>
        <w:t>采购公告</w:t>
      </w:r>
      <w:r>
        <w:rPr>
          <w:rFonts w:ascii="Times New Roman" w:hAnsi="Times New Roman" w:cs="Times New Roman"/>
          <w:color w:val="auto"/>
        </w:rPr>
        <w:t>”。</w:t>
      </w:r>
    </w:p>
    <w:p w14:paraId="42D647CD">
      <w:pPr>
        <w:spacing w:line="440" w:lineRule="exact"/>
        <w:ind w:firstLine="420"/>
        <w:rPr>
          <w:rFonts w:ascii="Times New Roman" w:hAnsi="Times New Roman" w:cs="Times New Roman"/>
          <w:color w:val="auto"/>
        </w:rPr>
      </w:pPr>
      <w:r>
        <w:rPr>
          <w:rFonts w:hint="eastAsia" w:ascii="Times New Roman" w:hAnsi="Times New Roman" w:cs="Times New Roman"/>
          <w:color w:val="auto"/>
        </w:rPr>
        <w:t>3.2.4</w:t>
      </w:r>
      <w:r>
        <w:rPr>
          <w:rFonts w:ascii="Times New Roman" w:hAnsi="Times New Roman" w:cs="Times New Roman"/>
          <w:color w:val="auto"/>
        </w:rPr>
        <w:t>本项目的报价方式</w:t>
      </w:r>
      <w:r>
        <w:rPr>
          <w:rFonts w:hint="eastAsia" w:ascii="Times New Roman" w:hAnsi="Times New Roman" w:cs="Times New Roman"/>
          <w:color w:val="auto"/>
        </w:rPr>
        <w:t>为</w:t>
      </w:r>
      <w:r>
        <w:rPr>
          <w:rFonts w:hint="eastAsia" w:ascii="Times New Roman" w:hAnsi="Times New Roman" w:cs="Times New Roman"/>
          <w:color w:val="auto"/>
          <w:u w:val="single"/>
        </w:rPr>
        <w:t xml:space="preserve">  见供应商须知前附表  </w:t>
      </w:r>
      <w:r>
        <w:rPr>
          <w:rFonts w:ascii="Times New Roman" w:hAnsi="Times New Roman" w:cs="Times New Roman"/>
          <w:color w:val="auto"/>
        </w:rPr>
        <w:t>。</w:t>
      </w:r>
    </w:p>
    <w:p w14:paraId="318D6482">
      <w:pPr>
        <w:spacing w:line="440" w:lineRule="exact"/>
        <w:ind w:firstLine="420"/>
        <w:rPr>
          <w:rFonts w:ascii="Times New Roman" w:hAnsi="Times New Roman" w:cs="Times New Roman"/>
          <w:color w:val="auto"/>
        </w:rPr>
      </w:pPr>
      <w:r>
        <w:rPr>
          <w:rFonts w:ascii="Times New Roman" w:hAnsi="Times New Roman" w:cs="Times New Roman"/>
          <w:color w:val="auto"/>
        </w:rPr>
        <w:t>3.2.</w:t>
      </w:r>
      <w:r>
        <w:rPr>
          <w:rFonts w:hint="eastAsia" w:ascii="Times New Roman" w:hAnsi="Times New Roman" w:cs="Times New Roman"/>
          <w:color w:val="auto"/>
        </w:rPr>
        <w:t>5</w:t>
      </w:r>
      <w:r>
        <w:rPr>
          <w:rFonts w:ascii="Times New Roman" w:hAnsi="Times New Roman" w:cs="Times New Roman"/>
          <w:color w:val="auto"/>
        </w:rPr>
        <w:t xml:space="preserve"> 报价的其他要求</w:t>
      </w:r>
      <w:r>
        <w:rPr>
          <w:rFonts w:hint="eastAsia" w:ascii="Times New Roman" w:hAnsi="Times New Roman" w:cs="Times New Roman"/>
          <w:color w:val="auto"/>
        </w:rPr>
        <w:t>：</w:t>
      </w:r>
      <w:r>
        <w:rPr>
          <w:rFonts w:hint="eastAsia" w:ascii="Times New Roman" w:hAnsi="Times New Roman" w:cs="Times New Roman"/>
          <w:color w:val="auto"/>
          <w:szCs w:val="21"/>
        </w:rPr>
        <w:t>见供应商须知前附表</w:t>
      </w:r>
      <w:r>
        <w:rPr>
          <w:rFonts w:ascii="Times New Roman" w:hAnsi="Times New Roman" w:cs="Times New Roman"/>
          <w:color w:val="auto"/>
        </w:rPr>
        <w:t>。</w:t>
      </w:r>
    </w:p>
    <w:p w14:paraId="18558B52">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3.3响应有效期</w:t>
      </w:r>
    </w:p>
    <w:p w14:paraId="24CE9631">
      <w:pPr>
        <w:spacing w:line="440" w:lineRule="exact"/>
        <w:ind w:firstLine="420"/>
        <w:rPr>
          <w:rFonts w:ascii="Times New Roman" w:hAnsi="Times New Roman" w:cs="Times New Roman"/>
          <w:color w:val="auto"/>
        </w:rPr>
      </w:pPr>
      <w:r>
        <w:rPr>
          <w:rFonts w:ascii="Times New Roman" w:hAnsi="Times New Roman" w:cs="Times New Roman"/>
          <w:color w:val="auto"/>
        </w:rPr>
        <w:t>3.3.1 响应有效期为</w:t>
      </w:r>
      <w:r>
        <w:rPr>
          <w:rFonts w:ascii="Times New Roman" w:hAnsi="Times New Roman" w:eastAsia="宋体" w:cs="Times New Roman"/>
          <w:color w:val="auto"/>
          <w:szCs w:val="21"/>
        </w:rPr>
        <w:t>自供应商递交响应文件截止之日起计算</w:t>
      </w:r>
      <w:r>
        <w:rPr>
          <w:rFonts w:hint="eastAsia" w:ascii="Times New Roman" w:hAnsi="Times New Roman" w:eastAsia="宋体" w:cs="Times New Roman"/>
          <w:color w:val="auto"/>
          <w:szCs w:val="21"/>
        </w:rPr>
        <w:t>9</w:t>
      </w:r>
      <w:r>
        <w:rPr>
          <w:rFonts w:ascii="Times New Roman" w:hAnsi="Times New Roman" w:eastAsia="宋体" w:cs="Times New Roman"/>
          <w:color w:val="auto"/>
          <w:szCs w:val="21"/>
        </w:rPr>
        <w:t>0</w:t>
      </w:r>
      <w:r>
        <w:rPr>
          <w:rFonts w:ascii="Times New Roman" w:hAnsi="Times New Roman" w:cs="Times New Roman"/>
          <w:color w:val="auto"/>
        </w:rPr>
        <w:t>日。</w:t>
      </w:r>
    </w:p>
    <w:p w14:paraId="2464A1A1">
      <w:pPr>
        <w:spacing w:line="440" w:lineRule="exact"/>
        <w:ind w:firstLine="420"/>
        <w:rPr>
          <w:rFonts w:ascii="Times New Roman" w:hAnsi="Times New Roman" w:cs="Times New Roman"/>
          <w:color w:val="auto"/>
        </w:rPr>
      </w:pPr>
      <w:r>
        <w:rPr>
          <w:rFonts w:ascii="Times New Roman" w:hAnsi="Times New Roman" w:cs="Times New Roman"/>
          <w:color w:val="auto"/>
        </w:rPr>
        <w:t>3.3.2 在响应有效期内，供应商撤销响应文件的，应承担询比文件和法律规定的责任。</w:t>
      </w:r>
    </w:p>
    <w:p w14:paraId="4399706F">
      <w:pPr>
        <w:keepNext/>
        <w:keepLines/>
        <w:spacing w:before="120" w:after="120" w:line="415" w:lineRule="auto"/>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3.4响应保证金</w:t>
      </w:r>
    </w:p>
    <w:p w14:paraId="707B2F15">
      <w:pPr>
        <w:spacing w:line="440" w:lineRule="exact"/>
        <w:ind w:firstLine="420"/>
        <w:rPr>
          <w:rFonts w:ascii="Times New Roman" w:hAnsi="Times New Roman"/>
          <w:color w:val="auto"/>
        </w:rPr>
      </w:pPr>
      <w:r>
        <w:rPr>
          <w:rFonts w:ascii="Times New Roman" w:hAnsi="Times New Roman" w:cs="Times New Roman"/>
          <w:color w:val="auto"/>
        </w:rPr>
        <w:t>3.4.1 供应商在递交响应文件的同时，应按</w:t>
      </w:r>
      <w:r>
        <w:rPr>
          <w:rFonts w:hint="eastAsia" w:ascii="Times New Roman" w:hAnsi="Times New Roman" w:cs="Times New Roman"/>
          <w:color w:val="auto"/>
        </w:rPr>
        <w:t>第一章</w:t>
      </w:r>
      <w:r>
        <w:rPr>
          <w:rFonts w:ascii="Times New Roman" w:hAnsi="Times New Roman" w:cs="Times New Roman"/>
          <w:color w:val="auto"/>
        </w:rPr>
        <w:t>“</w:t>
      </w:r>
      <w:r>
        <w:rPr>
          <w:rFonts w:hint="eastAsia" w:ascii="Times New Roman" w:hAnsi="Times New Roman" w:cs="Times New Roman"/>
          <w:color w:val="auto"/>
          <w:szCs w:val="21"/>
        </w:rPr>
        <w:t>采购公告</w:t>
      </w:r>
      <w:r>
        <w:rPr>
          <w:rFonts w:ascii="Times New Roman" w:hAnsi="Times New Roman" w:cs="Times New Roman"/>
          <w:color w:val="auto"/>
        </w:rPr>
        <w:t>”</w:t>
      </w:r>
      <w:r>
        <w:rPr>
          <w:rFonts w:hint="eastAsia" w:ascii="Times New Roman" w:hAnsi="Times New Roman" w:cs="Times New Roman"/>
          <w:color w:val="auto"/>
        </w:rPr>
        <w:t>的要求</w:t>
      </w:r>
      <w:r>
        <w:rPr>
          <w:rFonts w:ascii="Times New Roman" w:hAnsi="Times New Roman" w:cs="Times New Roman"/>
          <w:color w:val="auto"/>
        </w:rPr>
        <w:t>递交响应保证金，并作为其响应文件的组成部分。</w:t>
      </w:r>
    </w:p>
    <w:p w14:paraId="40CA33E3">
      <w:pPr>
        <w:spacing w:line="440" w:lineRule="exact"/>
        <w:ind w:firstLine="420"/>
        <w:rPr>
          <w:rFonts w:ascii="Times New Roman" w:hAnsi="Times New Roman" w:cs="Times New Roman"/>
          <w:color w:val="auto"/>
          <w:highlight w:val="none"/>
        </w:rPr>
      </w:pPr>
      <w:r>
        <w:rPr>
          <w:rFonts w:ascii="Times New Roman" w:hAnsi="Times New Roman" w:cs="Times New Roman"/>
          <w:color w:val="auto"/>
        </w:rPr>
        <w:t>无论采取何种形</w:t>
      </w:r>
      <w:r>
        <w:rPr>
          <w:rFonts w:ascii="Times New Roman" w:hAnsi="Times New Roman" w:cs="Times New Roman"/>
          <w:color w:val="auto"/>
          <w:highlight w:val="none"/>
        </w:rPr>
        <w:t>式的响应保证金，响应保证金有效期均应与响应有效期一致。</w:t>
      </w:r>
    </w:p>
    <w:p w14:paraId="28355DAA">
      <w:pPr>
        <w:spacing w:line="440" w:lineRule="exact"/>
        <w:ind w:firstLine="420"/>
        <w:rPr>
          <w:rFonts w:ascii="Times New Roman" w:hAnsi="Times New Roman" w:cs="Times New Roman"/>
          <w:color w:val="auto"/>
        </w:rPr>
      </w:pPr>
      <w:r>
        <w:rPr>
          <w:rFonts w:ascii="Times New Roman" w:hAnsi="Times New Roman" w:cs="Times New Roman"/>
          <w:color w:val="auto"/>
          <w:highlight w:val="none"/>
        </w:rPr>
        <w:t>3.4.2 供应商不按本章第3.4.1项</w:t>
      </w:r>
      <w:r>
        <w:rPr>
          <w:rFonts w:ascii="Times New Roman" w:hAnsi="Times New Roman" w:cs="Times New Roman"/>
          <w:color w:val="auto"/>
        </w:rPr>
        <w:t>要求提交响应保证金的，</w:t>
      </w:r>
      <w:r>
        <w:rPr>
          <w:rFonts w:hint="eastAsia" w:ascii="Times New Roman" w:hAnsi="Times New Roman" w:cs="Times New Roman"/>
          <w:color w:val="auto"/>
        </w:rPr>
        <w:t>评审小组</w:t>
      </w:r>
      <w:r>
        <w:rPr>
          <w:rFonts w:ascii="Times New Roman" w:hAnsi="Times New Roman" w:cs="Times New Roman"/>
          <w:color w:val="auto"/>
        </w:rPr>
        <w:t>将否决其</w:t>
      </w:r>
      <w:r>
        <w:rPr>
          <w:rFonts w:hint="eastAsia" w:ascii="Times New Roman" w:hAnsi="Times New Roman" w:cs="Times New Roman"/>
          <w:color w:val="auto"/>
        </w:rPr>
        <w:t>响应文件</w:t>
      </w:r>
      <w:r>
        <w:rPr>
          <w:rFonts w:ascii="Times New Roman" w:hAnsi="Times New Roman" w:cs="Times New Roman"/>
          <w:color w:val="auto"/>
        </w:rPr>
        <w:t>。</w:t>
      </w:r>
    </w:p>
    <w:p w14:paraId="22570033">
      <w:pPr>
        <w:spacing w:line="440" w:lineRule="exact"/>
        <w:ind w:firstLine="420"/>
        <w:rPr>
          <w:rFonts w:ascii="Times New Roman" w:hAnsi="Times New Roman" w:cs="Times New Roman"/>
          <w:color w:val="auto"/>
          <w:highlight w:val="cyan"/>
        </w:rPr>
      </w:pPr>
      <w:r>
        <w:rPr>
          <w:rFonts w:ascii="Times New Roman" w:hAnsi="Times New Roman" w:cs="Times New Roman"/>
          <w:color w:val="auto"/>
          <w:highlight w:val="none"/>
        </w:rPr>
        <w:t>3.4.3 采购人在与成交人签订合同后</w:t>
      </w:r>
      <w:r>
        <w:rPr>
          <w:rFonts w:hint="eastAsia" w:ascii="Times New Roman" w:hAnsi="Times New Roman" w:cs="Times New Roman"/>
          <w:color w:val="auto"/>
          <w:highlight w:val="none"/>
          <w:lang w:val="en-US" w:eastAsia="zh-CN"/>
        </w:rPr>
        <w:t>10</w:t>
      </w:r>
      <w:r>
        <w:rPr>
          <w:rFonts w:ascii="Times New Roman" w:hAnsi="Times New Roman" w:cs="Times New Roman"/>
          <w:color w:val="auto"/>
          <w:highlight w:val="none"/>
        </w:rPr>
        <w:t>日内办理退还响应保证金手续。</w:t>
      </w:r>
    </w:p>
    <w:p w14:paraId="7EAF7C44">
      <w:pPr>
        <w:spacing w:line="440" w:lineRule="exact"/>
        <w:ind w:firstLine="420"/>
        <w:rPr>
          <w:rFonts w:ascii="Times New Roman" w:hAnsi="Times New Roman" w:cs="Times New Roman"/>
          <w:color w:val="auto"/>
        </w:rPr>
      </w:pPr>
      <w:r>
        <w:rPr>
          <w:rFonts w:ascii="Times New Roman" w:hAnsi="Times New Roman" w:cs="Times New Roman"/>
          <w:color w:val="auto"/>
        </w:rPr>
        <w:t>3.4.4 有下列情形之一的，响应保证金将不予退还：</w:t>
      </w:r>
    </w:p>
    <w:p w14:paraId="2D3F3171">
      <w:pPr>
        <w:spacing w:line="440" w:lineRule="exact"/>
        <w:ind w:firstLine="420"/>
        <w:rPr>
          <w:rFonts w:ascii="Times New Roman" w:hAnsi="Times New Roman" w:cs="Times New Roman"/>
          <w:color w:val="auto"/>
        </w:rPr>
      </w:pPr>
      <w:r>
        <w:rPr>
          <w:rFonts w:ascii="Times New Roman" w:hAnsi="Times New Roman" w:cs="Times New Roman"/>
          <w:color w:val="auto"/>
        </w:rPr>
        <w:t>（1）供应商在规定的响应有效期内撤销其响应文件；</w:t>
      </w:r>
    </w:p>
    <w:p w14:paraId="6C5895E3">
      <w:pPr>
        <w:spacing w:line="440" w:lineRule="exact"/>
        <w:ind w:firstLine="420"/>
        <w:rPr>
          <w:rFonts w:ascii="Times New Roman" w:hAnsi="Times New Roman" w:cs="Times New Roman"/>
          <w:color w:val="auto"/>
        </w:rPr>
      </w:pPr>
      <w:r>
        <w:rPr>
          <w:rFonts w:ascii="Times New Roman" w:hAnsi="Times New Roman" w:cs="Times New Roman"/>
          <w:color w:val="auto"/>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1D7B1D81">
      <w:pPr>
        <w:spacing w:line="440" w:lineRule="exact"/>
        <w:ind w:firstLine="420"/>
        <w:rPr>
          <w:rFonts w:ascii="Times New Roman" w:hAnsi="Times New Roman" w:cs="Times New Roman"/>
          <w:color w:val="auto"/>
        </w:rPr>
      </w:pPr>
      <w:r>
        <w:rPr>
          <w:rFonts w:ascii="Times New Roman" w:hAnsi="Times New Roman" w:cs="Times New Roman"/>
          <w:color w:val="auto"/>
        </w:rPr>
        <w:t>（3）</w:t>
      </w:r>
      <w:r>
        <w:rPr>
          <w:rFonts w:hint="eastAsia" w:ascii="Times New Roman" w:hAnsi="Times New Roman" w:cs="Times New Roman"/>
          <w:color w:val="auto"/>
          <w:szCs w:val="21"/>
        </w:rPr>
        <w:t>供应商须知前附表规定的</w:t>
      </w:r>
      <w:r>
        <w:rPr>
          <w:rFonts w:ascii="Times New Roman" w:hAnsi="Times New Roman" w:cs="Times New Roman"/>
          <w:color w:val="auto"/>
          <w:szCs w:val="21"/>
        </w:rPr>
        <w:t>其他情形</w:t>
      </w:r>
      <w:r>
        <w:rPr>
          <w:rFonts w:ascii="Times New Roman" w:hAnsi="Times New Roman" w:cs="Times New Roman"/>
          <w:color w:val="auto"/>
        </w:rPr>
        <w:t>。</w:t>
      </w:r>
    </w:p>
    <w:p w14:paraId="1727910B">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3.5资格审查资料</w:t>
      </w:r>
    </w:p>
    <w:p w14:paraId="63F408CB">
      <w:pPr>
        <w:spacing w:line="440" w:lineRule="exact"/>
        <w:ind w:firstLine="420"/>
        <w:rPr>
          <w:rFonts w:ascii="Times New Roman" w:hAnsi="Times New Roman" w:cs="Times New Roman"/>
          <w:color w:val="auto"/>
        </w:rPr>
      </w:pPr>
      <w:r>
        <w:rPr>
          <w:rFonts w:ascii="Times New Roman" w:hAnsi="Times New Roman" w:cs="Times New Roman"/>
          <w:color w:val="auto"/>
        </w:rPr>
        <w:t>供应商应按“响应文件格式”</w:t>
      </w:r>
      <w:r>
        <w:rPr>
          <w:rFonts w:hint="eastAsia" w:ascii="Times New Roman" w:hAnsi="Times New Roman" w:cs="Times New Roman"/>
          <w:color w:val="auto"/>
        </w:rPr>
        <w:t>的</w:t>
      </w:r>
      <w:r>
        <w:rPr>
          <w:rFonts w:ascii="Times New Roman" w:hAnsi="Times New Roman" w:cs="Times New Roman"/>
          <w:color w:val="auto"/>
        </w:rPr>
        <w:t>规定提供资格审查资料，以证明其满</w:t>
      </w:r>
      <w:r>
        <w:rPr>
          <w:rFonts w:ascii="Times New Roman" w:hAnsi="Times New Roman" w:cs="Times New Roman"/>
          <w:color w:val="auto"/>
          <w:highlight w:val="none"/>
        </w:rPr>
        <w:t>足本章第1.</w:t>
      </w:r>
      <w:r>
        <w:rPr>
          <w:rFonts w:hint="eastAsia" w:ascii="Times New Roman" w:hAnsi="Times New Roman" w:cs="Times New Roman"/>
          <w:color w:val="auto"/>
          <w:highlight w:val="none"/>
        </w:rPr>
        <w:t>2</w:t>
      </w:r>
      <w:r>
        <w:rPr>
          <w:rFonts w:ascii="Times New Roman" w:hAnsi="Times New Roman" w:cs="Times New Roman"/>
          <w:color w:val="auto"/>
          <w:highlight w:val="none"/>
        </w:rPr>
        <w:t>款规</w:t>
      </w:r>
      <w:r>
        <w:rPr>
          <w:rFonts w:ascii="Times New Roman" w:hAnsi="Times New Roman" w:cs="Times New Roman"/>
          <w:color w:val="auto"/>
        </w:rPr>
        <w:t>定的资质、</w:t>
      </w:r>
      <w:r>
        <w:rPr>
          <w:rFonts w:hint="eastAsia" w:ascii="Times New Roman" w:hAnsi="Times New Roman" w:cs="Times New Roman"/>
          <w:color w:val="auto"/>
        </w:rPr>
        <w:t>能力、</w:t>
      </w:r>
      <w:r>
        <w:rPr>
          <w:rFonts w:ascii="Times New Roman" w:hAnsi="Times New Roman" w:cs="Times New Roman"/>
          <w:color w:val="auto"/>
        </w:rPr>
        <w:t>信誉等要求。</w:t>
      </w:r>
    </w:p>
    <w:p w14:paraId="24023D9F">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w:t>
      </w:r>
      <w:r>
        <w:rPr>
          <w:rFonts w:hint="eastAsia" w:ascii="Times New Roman" w:hAnsi="Times New Roman" w:eastAsia="黑体" w:cs="Times New Roman"/>
          <w:bCs/>
          <w:color w:val="auto"/>
          <w:sz w:val="24"/>
          <w:szCs w:val="32"/>
        </w:rPr>
        <w:t>6</w:t>
      </w:r>
      <w:r>
        <w:rPr>
          <w:rFonts w:ascii="Times New Roman" w:hAnsi="Times New Roman" w:eastAsia="黑体" w:cs="Times New Roman"/>
          <w:bCs/>
          <w:color w:val="auto"/>
          <w:sz w:val="24"/>
          <w:szCs w:val="32"/>
        </w:rPr>
        <w:t>响应文件的编制</w:t>
      </w:r>
    </w:p>
    <w:p w14:paraId="0502C97E">
      <w:pPr>
        <w:spacing w:line="440" w:lineRule="exact"/>
        <w:ind w:firstLine="420"/>
        <w:rPr>
          <w:rFonts w:ascii="Times New Roman" w:hAnsi="Times New Roman" w:cs="Times New Roman"/>
          <w:color w:val="auto"/>
        </w:rPr>
      </w:pPr>
      <w:r>
        <w:rPr>
          <w:rFonts w:ascii="Times New Roman" w:hAnsi="Times New Roman" w:cs="Times New Roman"/>
          <w:color w:val="auto"/>
        </w:rPr>
        <w:t>3.</w:t>
      </w:r>
      <w:r>
        <w:rPr>
          <w:rFonts w:hint="eastAsia" w:ascii="Times New Roman" w:hAnsi="Times New Roman" w:cs="Times New Roman"/>
          <w:color w:val="auto"/>
        </w:rPr>
        <w:t>6</w:t>
      </w:r>
      <w:r>
        <w:rPr>
          <w:rFonts w:ascii="Times New Roman" w:hAnsi="Times New Roman" w:cs="Times New Roman"/>
          <w:color w:val="auto"/>
        </w:rPr>
        <w:t>.1</w:t>
      </w:r>
      <w:r>
        <w:rPr>
          <w:rFonts w:hint="eastAsia" w:ascii="Times New Roman" w:hAnsi="Times New Roman" w:cs="Times New Roman"/>
          <w:color w:val="auto"/>
        </w:rPr>
        <w:t xml:space="preserve"> </w:t>
      </w:r>
      <w:r>
        <w:rPr>
          <w:rFonts w:ascii="Times New Roman" w:hAnsi="Times New Roman" w:cs="Times New Roman"/>
          <w:color w:val="auto"/>
        </w:rPr>
        <w:t>响应文件应按“响应文件格式”进行编写，如有必要，可以增加附页，作为响应文件的组成部分。</w:t>
      </w:r>
    </w:p>
    <w:p w14:paraId="56F89A40">
      <w:pPr>
        <w:spacing w:line="440" w:lineRule="exact"/>
        <w:ind w:firstLine="420"/>
        <w:rPr>
          <w:rFonts w:ascii="Times New Roman" w:hAnsi="Times New Roman" w:cs="Times New Roman"/>
          <w:color w:val="auto"/>
        </w:rPr>
      </w:pPr>
      <w:r>
        <w:rPr>
          <w:rFonts w:ascii="Times New Roman" w:hAnsi="Times New Roman" w:cs="Times New Roman"/>
          <w:color w:val="auto"/>
        </w:rPr>
        <w:t>3.</w:t>
      </w:r>
      <w:r>
        <w:rPr>
          <w:rFonts w:hint="eastAsia" w:ascii="Times New Roman" w:hAnsi="Times New Roman" w:cs="Times New Roman"/>
          <w:color w:val="auto"/>
        </w:rPr>
        <w:t>6</w:t>
      </w:r>
      <w:r>
        <w:rPr>
          <w:rFonts w:ascii="Times New Roman" w:hAnsi="Times New Roman" w:cs="Times New Roman"/>
          <w:color w:val="auto"/>
        </w:rPr>
        <w:t>.2 响应文件应当对询比文件有关工期、响应有效期、质量要求、技术标准和要求、</w:t>
      </w:r>
      <w:r>
        <w:rPr>
          <w:rFonts w:hint="eastAsia" w:ascii="Times New Roman" w:hAnsi="Times New Roman" w:cs="Times New Roman"/>
          <w:color w:val="auto"/>
        </w:rPr>
        <w:t>采购范围</w:t>
      </w:r>
      <w:r>
        <w:rPr>
          <w:rFonts w:ascii="Times New Roman" w:hAnsi="Times New Roman" w:cs="Times New Roman"/>
          <w:color w:val="auto"/>
        </w:rPr>
        <w:t>等实质性内容作出响应。</w:t>
      </w:r>
    </w:p>
    <w:p w14:paraId="1A425AED">
      <w:pPr>
        <w:spacing w:line="440" w:lineRule="exact"/>
        <w:ind w:firstLine="420"/>
        <w:rPr>
          <w:rFonts w:ascii="Times New Roman" w:hAnsi="Times New Roman" w:cs="Times New Roman"/>
          <w:color w:val="auto"/>
        </w:rPr>
      </w:pPr>
      <w:r>
        <w:rPr>
          <w:rFonts w:ascii="Times New Roman" w:hAnsi="Times New Roman" w:cs="Times New Roman"/>
          <w:color w:val="auto"/>
        </w:rPr>
        <w:t>3.</w:t>
      </w:r>
      <w:r>
        <w:rPr>
          <w:rFonts w:hint="eastAsia" w:ascii="Times New Roman" w:hAnsi="Times New Roman" w:cs="Times New Roman"/>
          <w:color w:val="auto"/>
        </w:rPr>
        <w:t>6</w:t>
      </w:r>
      <w:r>
        <w:rPr>
          <w:rFonts w:ascii="Times New Roman" w:hAnsi="Times New Roman" w:cs="Times New Roman"/>
          <w:color w:val="auto"/>
        </w:rPr>
        <w:t>.3响应文件的制作应满足以下规定：</w:t>
      </w:r>
    </w:p>
    <w:p w14:paraId="7EA6E91F">
      <w:pPr>
        <w:spacing w:line="440" w:lineRule="exact"/>
        <w:ind w:firstLine="420"/>
        <w:rPr>
          <w:rFonts w:ascii="Times New Roman" w:hAnsi="Times New Roman" w:cs="Times New Roman"/>
          <w:color w:val="auto"/>
        </w:rPr>
      </w:pPr>
      <w:r>
        <w:rPr>
          <w:rFonts w:ascii="Times New Roman" w:hAnsi="Times New Roman" w:cs="Times New Roman"/>
          <w:color w:val="auto"/>
        </w:rPr>
        <w:t>（1）</w:t>
      </w:r>
      <w:r>
        <w:rPr>
          <w:rFonts w:hint="eastAsia" w:ascii="Times New Roman" w:hAnsi="Times New Roman" w:cs="Times New Roman"/>
          <w:color w:val="auto"/>
        </w:rPr>
        <w:t>响应</w:t>
      </w:r>
      <w:r>
        <w:rPr>
          <w:rFonts w:ascii="Times New Roman" w:hAnsi="Times New Roman" w:cs="Times New Roman"/>
          <w:color w:val="auto"/>
        </w:rPr>
        <w:t>文件应用不褪色的材料书写或打印，并按第六章“</w:t>
      </w:r>
      <w:r>
        <w:rPr>
          <w:rFonts w:hint="eastAsia" w:ascii="Times New Roman" w:hAnsi="Times New Roman" w:cs="Times New Roman"/>
          <w:color w:val="auto"/>
        </w:rPr>
        <w:t>响应文件</w:t>
      </w:r>
      <w:r>
        <w:rPr>
          <w:rFonts w:ascii="Times New Roman" w:hAnsi="Times New Roman" w:cs="Times New Roman"/>
          <w:color w:val="auto"/>
        </w:rPr>
        <w:t>格式”的要求进行</w:t>
      </w:r>
      <w:r>
        <w:rPr>
          <w:rFonts w:hint="eastAsia" w:ascii="Times New Roman" w:hAnsi="Times New Roman" w:cs="Times New Roman"/>
          <w:color w:val="auto"/>
        </w:rPr>
        <w:t>签名</w:t>
      </w:r>
      <w:r>
        <w:rPr>
          <w:rFonts w:ascii="Times New Roman" w:hAnsi="Times New Roman" w:cs="Times New Roman"/>
          <w:color w:val="auto"/>
        </w:rPr>
        <w:t>和（或）盖章。</w:t>
      </w:r>
      <w:r>
        <w:rPr>
          <w:rFonts w:hint="eastAsia" w:ascii="Times New Roman" w:hAnsi="Times New Roman" w:cs="Times New Roman"/>
          <w:color w:val="auto"/>
        </w:rPr>
        <w:t>响应</w:t>
      </w:r>
      <w:r>
        <w:rPr>
          <w:rFonts w:ascii="Times New Roman" w:hAnsi="Times New Roman" w:cs="Times New Roman"/>
          <w:color w:val="auto"/>
        </w:rPr>
        <w:t>文件应尽量避免涂改、行间插字或删除。如果出现上述情况，改动之处应由</w:t>
      </w:r>
      <w:r>
        <w:rPr>
          <w:rFonts w:hint="eastAsia" w:ascii="Times New Roman" w:hAnsi="Times New Roman" w:cs="Times New Roman"/>
          <w:color w:val="auto"/>
        </w:rPr>
        <w:t>供应商</w:t>
      </w:r>
      <w:r>
        <w:rPr>
          <w:rFonts w:ascii="Times New Roman" w:hAnsi="Times New Roman" w:cs="Times New Roman"/>
          <w:color w:val="auto"/>
        </w:rPr>
        <w:t>的法定代表人或其授权的代理人</w:t>
      </w:r>
      <w:r>
        <w:rPr>
          <w:rFonts w:hint="eastAsia" w:ascii="Times New Roman" w:hAnsi="Times New Roman" w:cs="Times New Roman"/>
          <w:color w:val="auto"/>
        </w:rPr>
        <w:t>签名</w:t>
      </w:r>
      <w:r>
        <w:rPr>
          <w:rFonts w:ascii="Times New Roman" w:hAnsi="Times New Roman" w:cs="Times New Roman"/>
          <w:color w:val="auto"/>
        </w:rPr>
        <w:t>或盖单位章。</w:t>
      </w:r>
    </w:p>
    <w:p w14:paraId="644A3ED9">
      <w:pPr>
        <w:spacing w:line="440" w:lineRule="exact"/>
        <w:ind w:firstLine="420"/>
        <w:rPr>
          <w:rFonts w:ascii="Times New Roman" w:hAnsi="Times New Roman" w:cs="Times New Roman"/>
          <w:color w:val="auto"/>
        </w:rPr>
      </w:pPr>
      <w:r>
        <w:rPr>
          <w:rFonts w:ascii="Times New Roman" w:hAnsi="Times New Roman" w:cs="Times New Roman"/>
          <w:color w:val="auto"/>
        </w:rPr>
        <w:t>（2）</w:t>
      </w:r>
      <w:r>
        <w:rPr>
          <w:rFonts w:hint="eastAsia" w:ascii="Times New Roman" w:hAnsi="Times New Roman" w:cs="Times New Roman"/>
          <w:color w:val="auto"/>
        </w:rPr>
        <w:t>响应文件正本一份，副本一份。正本和副本的封面右上角上应清楚地标记“正本”和“副本”的字样。当副本与正本不一致时，以正本文件为准。</w:t>
      </w:r>
    </w:p>
    <w:p w14:paraId="0F59FCF3">
      <w:pPr>
        <w:spacing w:line="440" w:lineRule="exact"/>
        <w:ind w:firstLine="420"/>
        <w:rPr>
          <w:rFonts w:ascii="Times New Roman" w:hAnsi="Times New Roman" w:cs="Times New Roman"/>
          <w:color w:val="auto"/>
        </w:rPr>
      </w:pPr>
      <w:r>
        <w:rPr>
          <w:rFonts w:hint="eastAsia" w:ascii="Times New Roman" w:hAnsi="Times New Roman" w:cs="Times New Roman"/>
          <w:color w:val="auto"/>
        </w:rPr>
        <w:t>（3）响应文件的正本与副本应分别装订。</w:t>
      </w:r>
    </w:p>
    <w:p w14:paraId="0A49C242">
      <w:pPr>
        <w:spacing w:line="440" w:lineRule="exact"/>
        <w:ind w:firstLine="420"/>
        <w:rPr>
          <w:rFonts w:ascii="Times New Roman" w:hAnsi="Times New Roman" w:cs="Times New Roman"/>
          <w:color w:val="auto"/>
        </w:rPr>
      </w:pPr>
      <w:r>
        <w:rPr>
          <w:rFonts w:hint="eastAsia" w:ascii="Times New Roman" w:hAnsi="Times New Roman" w:cs="Times New Roman"/>
          <w:color w:val="auto"/>
        </w:rPr>
        <w:t>（4）响应文件其他要求见供应商须知前附表</w:t>
      </w:r>
      <w:r>
        <w:rPr>
          <w:rFonts w:ascii="Times New Roman" w:hAnsi="Times New Roman" w:cs="Times New Roman"/>
          <w:color w:val="auto"/>
        </w:rPr>
        <w:t>。</w:t>
      </w:r>
    </w:p>
    <w:p w14:paraId="4AAE187F">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4. 响应文件的递交</w:t>
      </w:r>
    </w:p>
    <w:p w14:paraId="13EE94A9">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4.1响应文件的密封和标记</w:t>
      </w:r>
    </w:p>
    <w:p w14:paraId="42C9C6AD">
      <w:pPr>
        <w:spacing w:line="440" w:lineRule="exact"/>
        <w:ind w:firstLine="420"/>
        <w:rPr>
          <w:rFonts w:ascii="Times New Roman" w:hAnsi="Times New Roman" w:cs="Times New Roman"/>
          <w:b/>
          <w:bCs/>
          <w:color w:val="auto"/>
          <w:highlight w:val="yellow"/>
        </w:rPr>
      </w:pPr>
      <w:r>
        <w:rPr>
          <w:rFonts w:ascii="Times New Roman" w:hAnsi="Times New Roman" w:cs="Times New Roman"/>
          <w:b/>
          <w:bCs/>
          <w:color w:val="auto"/>
          <w:highlight w:val="yellow"/>
        </w:rPr>
        <w:t>4.1.1响应文件</w:t>
      </w:r>
      <w:r>
        <w:rPr>
          <w:rFonts w:hint="eastAsia" w:ascii="Times New Roman" w:hAnsi="Times New Roman" w:cs="Times New Roman"/>
          <w:b/>
          <w:bCs/>
          <w:color w:val="auto"/>
          <w:highlight w:val="yellow"/>
        </w:rPr>
        <w:t>正、副本</w:t>
      </w:r>
      <w:r>
        <w:rPr>
          <w:rFonts w:ascii="Times New Roman" w:hAnsi="Times New Roman" w:cs="Times New Roman"/>
          <w:b/>
          <w:bCs/>
          <w:color w:val="auto"/>
          <w:highlight w:val="yellow"/>
        </w:rPr>
        <w:t>应密封包装</w:t>
      </w:r>
      <w:r>
        <w:rPr>
          <w:rFonts w:hint="eastAsia" w:ascii="Times New Roman" w:hAnsi="Times New Roman" w:cs="Times New Roman"/>
          <w:b/>
          <w:bCs/>
          <w:color w:val="auto"/>
          <w:highlight w:val="yellow"/>
        </w:rPr>
        <w:t>在一个封套内开密封。</w:t>
      </w:r>
    </w:p>
    <w:p w14:paraId="51D7A5ED">
      <w:pPr>
        <w:spacing w:line="440" w:lineRule="exact"/>
        <w:ind w:firstLine="420"/>
        <w:rPr>
          <w:rFonts w:ascii="Times New Roman" w:hAnsi="Times New Roman" w:cs="Times New Roman"/>
          <w:color w:val="auto"/>
        </w:rPr>
      </w:pPr>
      <w:r>
        <w:rPr>
          <w:rFonts w:hint="eastAsia" w:ascii="Times New Roman" w:hAnsi="Times New Roman" w:cs="Times New Roman"/>
          <w:color w:val="auto"/>
        </w:rPr>
        <w:t>响应文件封套上注明：</w:t>
      </w:r>
    </w:p>
    <w:p w14:paraId="59054F16">
      <w:pPr>
        <w:spacing w:line="440" w:lineRule="exact"/>
        <w:ind w:firstLine="420"/>
        <w:rPr>
          <w:rFonts w:ascii="Times New Roman" w:hAnsi="Times New Roman" w:eastAsia="黑体" w:cs="黑体"/>
          <w:b/>
          <w:bCs w:val="0"/>
          <w:snapToGrid w:val="0"/>
          <w:color w:val="auto"/>
          <w:kern w:val="0"/>
          <w:szCs w:val="21"/>
          <w:highlight w:val="yellow"/>
        </w:rPr>
      </w:pPr>
      <w:r>
        <w:rPr>
          <w:rFonts w:hint="eastAsia" w:ascii="Times New Roman" w:hAnsi="Times New Roman" w:eastAsia="黑体" w:cs="黑体"/>
          <w:b/>
          <w:bCs w:val="0"/>
          <w:snapToGrid w:val="0"/>
          <w:color w:val="auto"/>
          <w:kern w:val="0"/>
          <w:szCs w:val="21"/>
          <w:highlight w:val="yellow"/>
        </w:rPr>
        <w:t>供应商名称：</w:t>
      </w:r>
      <w:r>
        <w:rPr>
          <w:rFonts w:hint="eastAsia" w:ascii="Times New Roman" w:hAnsi="Times New Roman" w:eastAsia="黑体" w:cs="黑体"/>
          <w:b/>
          <w:bCs w:val="0"/>
          <w:snapToGrid w:val="0"/>
          <w:color w:val="auto"/>
          <w:kern w:val="0"/>
          <w:szCs w:val="21"/>
          <w:highlight w:val="yellow"/>
          <w:u w:val="single"/>
        </w:rPr>
        <w:t xml:space="preserve">            </w:t>
      </w:r>
    </w:p>
    <w:p w14:paraId="3BB7DE9A">
      <w:pPr>
        <w:spacing w:line="440" w:lineRule="exact"/>
        <w:ind w:firstLine="420"/>
        <w:rPr>
          <w:rFonts w:ascii="Times New Roman" w:hAnsi="Times New Roman" w:eastAsia="黑体" w:cs="黑体"/>
          <w:b/>
          <w:bCs w:val="0"/>
          <w:snapToGrid w:val="0"/>
          <w:color w:val="auto"/>
          <w:kern w:val="0"/>
          <w:szCs w:val="21"/>
          <w:highlight w:val="yellow"/>
        </w:rPr>
      </w:pPr>
      <w:r>
        <w:rPr>
          <w:rFonts w:hint="eastAsia" w:ascii="Times New Roman" w:hAnsi="Times New Roman" w:eastAsia="黑体" w:cs="黑体"/>
          <w:b/>
          <w:bCs w:val="0"/>
          <w:snapToGrid w:val="0"/>
          <w:color w:val="auto"/>
          <w:kern w:val="0"/>
          <w:szCs w:val="21"/>
          <w:highlight w:val="yellow"/>
          <w:u w:val="single"/>
        </w:rPr>
        <w:t xml:space="preserve">            </w:t>
      </w:r>
      <w:r>
        <w:rPr>
          <w:rFonts w:hint="eastAsia" w:ascii="Times New Roman" w:hAnsi="Times New Roman" w:eastAsia="黑体" w:cs="黑体"/>
          <w:b/>
          <w:bCs w:val="0"/>
          <w:snapToGrid w:val="0"/>
          <w:color w:val="auto"/>
          <w:kern w:val="0"/>
          <w:szCs w:val="21"/>
          <w:highlight w:val="yellow"/>
        </w:rPr>
        <w:t>(项目</w:t>
      </w:r>
      <w:r>
        <w:rPr>
          <w:rFonts w:hint="eastAsia" w:ascii="Times New Roman" w:hAnsi="Times New Roman" w:eastAsia="黑体" w:cs="黑体"/>
          <w:b/>
          <w:bCs w:val="0"/>
          <w:color w:val="auto"/>
          <w:highlight w:val="yellow"/>
        </w:rPr>
        <w:t>名称</w:t>
      </w:r>
      <w:r>
        <w:rPr>
          <w:rFonts w:hint="eastAsia" w:ascii="Times New Roman" w:hAnsi="Times New Roman" w:eastAsia="黑体" w:cs="黑体"/>
          <w:b/>
          <w:bCs w:val="0"/>
          <w:snapToGrid w:val="0"/>
          <w:color w:val="auto"/>
          <w:kern w:val="0"/>
          <w:szCs w:val="21"/>
          <w:highlight w:val="yellow"/>
        </w:rPr>
        <w:t>)响应文件</w:t>
      </w:r>
    </w:p>
    <w:p w14:paraId="17E38B18">
      <w:pPr>
        <w:spacing w:line="440" w:lineRule="exact"/>
        <w:ind w:firstLine="420"/>
        <w:rPr>
          <w:rFonts w:ascii="Times New Roman" w:hAnsi="Times New Roman" w:eastAsia="黑体" w:cs="黑体"/>
          <w:b/>
          <w:bCs w:val="0"/>
          <w:snapToGrid w:val="0"/>
          <w:color w:val="auto"/>
          <w:kern w:val="0"/>
          <w:szCs w:val="21"/>
          <w:highlight w:val="yellow"/>
        </w:rPr>
      </w:pPr>
      <w:r>
        <w:rPr>
          <w:rFonts w:hint="eastAsia" w:ascii="Times New Roman" w:hAnsi="Times New Roman" w:eastAsia="黑体" w:cs="黑体"/>
          <w:b/>
          <w:bCs w:val="0"/>
          <w:snapToGrid w:val="0"/>
          <w:color w:val="auto"/>
          <w:kern w:val="0"/>
          <w:szCs w:val="21"/>
          <w:highlight w:val="yellow"/>
        </w:rPr>
        <w:t>在</w:t>
      </w:r>
      <w:r>
        <w:rPr>
          <w:rFonts w:hint="eastAsia" w:ascii="Times New Roman" w:hAnsi="Times New Roman" w:eastAsia="黑体" w:cs="黑体"/>
          <w:b/>
          <w:bCs w:val="0"/>
          <w:snapToGrid w:val="0"/>
          <w:color w:val="auto"/>
          <w:kern w:val="0"/>
          <w:szCs w:val="21"/>
          <w:highlight w:val="yellow"/>
          <w:u w:val="single"/>
        </w:rPr>
        <w:t xml:space="preserve">    </w:t>
      </w:r>
      <w:r>
        <w:rPr>
          <w:rFonts w:hint="eastAsia" w:ascii="Times New Roman" w:hAnsi="Times New Roman" w:eastAsia="黑体" w:cs="黑体"/>
          <w:b/>
          <w:bCs w:val="0"/>
          <w:snapToGrid w:val="0"/>
          <w:color w:val="auto"/>
          <w:kern w:val="0"/>
          <w:szCs w:val="21"/>
          <w:highlight w:val="yellow"/>
        </w:rPr>
        <w:t>年</w:t>
      </w:r>
      <w:r>
        <w:rPr>
          <w:rFonts w:hint="eastAsia" w:ascii="Times New Roman" w:hAnsi="Times New Roman" w:eastAsia="黑体" w:cs="黑体"/>
          <w:b/>
          <w:bCs w:val="0"/>
          <w:snapToGrid w:val="0"/>
          <w:color w:val="auto"/>
          <w:kern w:val="0"/>
          <w:szCs w:val="21"/>
          <w:highlight w:val="yellow"/>
          <w:u w:val="single"/>
        </w:rPr>
        <w:t xml:space="preserve">   </w:t>
      </w:r>
      <w:r>
        <w:rPr>
          <w:rFonts w:hint="eastAsia" w:ascii="Times New Roman" w:hAnsi="Times New Roman" w:eastAsia="黑体" w:cs="黑体"/>
          <w:b/>
          <w:bCs w:val="0"/>
          <w:snapToGrid w:val="0"/>
          <w:color w:val="auto"/>
          <w:kern w:val="0"/>
          <w:szCs w:val="21"/>
          <w:highlight w:val="yellow"/>
        </w:rPr>
        <w:t>月</w:t>
      </w:r>
      <w:r>
        <w:rPr>
          <w:rFonts w:hint="eastAsia" w:ascii="Times New Roman" w:hAnsi="Times New Roman" w:eastAsia="黑体" w:cs="黑体"/>
          <w:b/>
          <w:bCs w:val="0"/>
          <w:snapToGrid w:val="0"/>
          <w:color w:val="auto"/>
          <w:kern w:val="0"/>
          <w:szCs w:val="21"/>
          <w:highlight w:val="yellow"/>
          <w:u w:val="single"/>
        </w:rPr>
        <w:t xml:space="preserve">   </w:t>
      </w:r>
      <w:r>
        <w:rPr>
          <w:rFonts w:hint="eastAsia" w:ascii="Times New Roman" w:hAnsi="Times New Roman" w:eastAsia="黑体" w:cs="黑体"/>
          <w:b/>
          <w:bCs w:val="0"/>
          <w:snapToGrid w:val="0"/>
          <w:color w:val="auto"/>
          <w:kern w:val="0"/>
          <w:szCs w:val="21"/>
          <w:highlight w:val="yellow"/>
        </w:rPr>
        <w:t>日</w:t>
      </w:r>
      <w:r>
        <w:rPr>
          <w:rFonts w:hint="eastAsia" w:ascii="Times New Roman" w:hAnsi="Times New Roman" w:eastAsia="黑体" w:cs="黑体"/>
          <w:b/>
          <w:bCs w:val="0"/>
          <w:snapToGrid w:val="0"/>
          <w:color w:val="auto"/>
          <w:kern w:val="0"/>
          <w:szCs w:val="21"/>
          <w:highlight w:val="yellow"/>
          <w:u w:val="single"/>
        </w:rPr>
        <w:t xml:space="preserve">    </w:t>
      </w:r>
      <w:r>
        <w:rPr>
          <w:rFonts w:hint="eastAsia" w:ascii="Times New Roman" w:hAnsi="Times New Roman" w:eastAsia="黑体" w:cs="黑体"/>
          <w:b/>
          <w:bCs w:val="0"/>
          <w:snapToGrid w:val="0"/>
          <w:color w:val="auto"/>
          <w:kern w:val="0"/>
          <w:szCs w:val="21"/>
          <w:highlight w:val="yellow"/>
        </w:rPr>
        <w:t>时</w:t>
      </w:r>
      <w:r>
        <w:rPr>
          <w:rFonts w:hint="eastAsia" w:ascii="Times New Roman" w:hAnsi="Times New Roman" w:eastAsia="黑体" w:cs="黑体"/>
          <w:b/>
          <w:bCs w:val="0"/>
          <w:snapToGrid w:val="0"/>
          <w:color w:val="auto"/>
          <w:kern w:val="0"/>
          <w:szCs w:val="21"/>
          <w:highlight w:val="yellow"/>
          <w:u w:val="single"/>
        </w:rPr>
        <w:t xml:space="preserve">   </w:t>
      </w:r>
      <w:r>
        <w:rPr>
          <w:rFonts w:hint="eastAsia" w:ascii="Times New Roman" w:hAnsi="Times New Roman" w:eastAsia="黑体" w:cs="黑体"/>
          <w:b/>
          <w:bCs w:val="0"/>
          <w:snapToGrid w:val="0"/>
          <w:color w:val="auto"/>
          <w:kern w:val="0"/>
          <w:szCs w:val="21"/>
          <w:highlight w:val="yellow"/>
        </w:rPr>
        <w:t>分（递交响应文件的截止时间）前不得开启</w:t>
      </w:r>
    </w:p>
    <w:p w14:paraId="0F5BE6B2">
      <w:pPr>
        <w:spacing w:line="440" w:lineRule="exact"/>
        <w:ind w:firstLine="420"/>
        <w:rPr>
          <w:rFonts w:ascii="Times New Roman" w:hAnsi="Times New Roman" w:cs="Times New Roman"/>
          <w:color w:val="auto"/>
          <w:highlight w:val="none"/>
        </w:rPr>
      </w:pPr>
      <w:r>
        <w:rPr>
          <w:rFonts w:ascii="Times New Roman" w:hAnsi="Times New Roman" w:cs="Times New Roman"/>
          <w:color w:val="auto"/>
        </w:rPr>
        <w:t>4.1.2</w:t>
      </w:r>
      <w:r>
        <w:rPr>
          <w:rFonts w:ascii="Times New Roman" w:hAnsi="Times New Roman"/>
          <w:color w:val="auto"/>
        </w:rPr>
        <w:t>未</w:t>
      </w:r>
      <w:r>
        <w:rPr>
          <w:rFonts w:ascii="Times New Roman" w:hAnsi="Times New Roman"/>
          <w:color w:val="auto"/>
          <w:highlight w:val="none"/>
        </w:rPr>
        <w:t>按本章第4.1.1项</w:t>
      </w:r>
      <w:r>
        <w:rPr>
          <w:rFonts w:ascii="Times New Roman" w:hAnsi="Times New Roman" w:cs="Times New Roman"/>
          <w:color w:val="auto"/>
          <w:highlight w:val="none"/>
        </w:rPr>
        <w:t>要求</w:t>
      </w:r>
      <w:r>
        <w:rPr>
          <w:rFonts w:ascii="Times New Roman" w:hAnsi="Times New Roman"/>
          <w:color w:val="auto"/>
          <w:highlight w:val="none"/>
        </w:rPr>
        <w:t>密封的</w:t>
      </w:r>
      <w:r>
        <w:rPr>
          <w:rFonts w:hint="eastAsia" w:ascii="Times New Roman" w:hAnsi="Times New Roman"/>
          <w:color w:val="auto"/>
          <w:highlight w:val="none"/>
        </w:rPr>
        <w:t>响应文件</w:t>
      </w:r>
      <w:r>
        <w:rPr>
          <w:rFonts w:ascii="Times New Roman" w:hAnsi="Times New Roman"/>
          <w:color w:val="auto"/>
          <w:highlight w:val="none"/>
        </w:rPr>
        <w:t>，</w:t>
      </w:r>
      <w:r>
        <w:rPr>
          <w:rFonts w:hint="eastAsia" w:ascii="Times New Roman" w:hAnsi="Times New Roman"/>
          <w:color w:val="auto"/>
          <w:highlight w:val="none"/>
        </w:rPr>
        <w:t>采购人</w:t>
      </w:r>
      <w:r>
        <w:rPr>
          <w:rFonts w:ascii="Times New Roman" w:hAnsi="Times New Roman"/>
          <w:color w:val="auto"/>
          <w:highlight w:val="none"/>
        </w:rPr>
        <w:t>将予以拒收。</w:t>
      </w:r>
    </w:p>
    <w:p w14:paraId="53ADFF5F">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4.2 响应文件的递交</w:t>
      </w:r>
    </w:p>
    <w:p w14:paraId="552ACF0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4.2.1供应商应当</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的规定递交响应文件</w:t>
      </w:r>
      <w:r>
        <w:rPr>
          <w:rFonts w:ascii="Times New Roman" w:hAnsi="Times New Roman" w:cs="Times New Roman"/>
          <w:color w:val="auto"/>
          <w:highlight w:val="none"/>
        </w:rPr>
        <w:t>。</w:t>
      </w:r>
    </w:p>
    <w:p w14:paraId="66543DFD">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w:t>
      </w:r>
      <w:r>
        <w:rPr>
          <w:rFonts w:hint="eastAsia" w:ascii="Times New Roman" w:hAnsi="Times New Roman" w:cs="Times New Roman"/>
          <w:color w:val="auto"/>
          <w:highlight w:val="none"/>
        </w:rPr>
        <w:t>递交响应文件的供应商数量不足3家时，采购人将宣布本次采购失败，并退还已递交的响应文件。</w:t>
      </w:r>
    </w:p>
    <w:p w14:paraId="48DB10F0">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4.2.3 除第4.2.2项规定外，</w:t>
      </w:r>
      <w:r>
        <w:rPr>
          <w:rFonts w:ascii="Times New Roman" w:hAnsi="Times New Roman" w:cs="Times New Roman"/>
          <w:color w:val="auto"/>
          <w:highlight w:val="none"/>
        </w:rPr>
        <w:t>供应商所递交的响应文件不予退还。</w:t>
      </w:r>
    </w:p>
    <w:p w14:paraId="1725B4F6">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 启封</w:t>
      </w:r>
    </w:p>
    <w:p w14:paraId="1C9BF8D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5.1 启封时间和地点</w:t>
      </w:r>
    </w:p>
    <w:p w14:paraId="26A52D4A">
      <w:pPr>
        <w:spacing w:line="440" w:lineRule="exact"/>
        <w:ind w:firstLine="420"/>
        <w:rPr>
          <w:rFonts w:ascii="Times New Roman" w:hAnsi="Times New Roman" w:cs="Times New Roman"/>
          <w:color w:val="auto"/>
        </w:rPr>
      </w:pPr>
      <w:r>
        <w:rPr>
          <w:rFonts w:ascii="Times New Roman" w:hAnsi="Times New Roman" w:cs="Times New Roman"/>
          <w:color w:val="auto"/>
          <w:highlight w:val="none"/>
        </w:rPr>
        <w:t>采购人在本章第4.2.1项规</w:t>
      </w:r>
      <w:r>
        <w:rPr>
          <w:rFonts w:ascii="Times New Roman" w:hAnsi="Times New Roman" w:cs="Times New Roman"/>
          <w:color w:val="auto"/>
        </w:rPr>
        <w:t>定的响应文件递交截止时间（启封时间），</w:t>
      </w:r>
      <w:r>
        <w:rPr>
          <w:rFonts w:hint="eastAsia" w:ascii="Times New Roman" w:hAnsi="Times New Roman" w:cs="Times New Roman"/>
          <w:color w:val="auto"/>
        </w:rPr>
        <w:t>按照第一章</w:t>
      </w:r>
      <w:r>
        <w:rPr>
          <w:rFonts w:ascii="Times New Roman" w:hAnsi="Times New Roman" w:cs="Times New Roman"/>
          <w:color w:val="auto"/>
        </w:rPr>
        <w:t>“</w:t>
      </w:r>
      <w:r>
        <w:rPr>
          <w:rFonts w:hint="eastAsia" w:ascii="Times New Roman" w:hAnsi="Times New Roman" w:cs="Times New Roman"/>
          <w:color w:val="auto"/>
          <w:szCs w:val="21"/>
        </w:rPr>
        <w:t>采购公告</w:t>
      </w:r>
      <w:r>
        <w:rPr>
          <w:rFonts w:ascii="Times New Roman" w:hAnsi="Times New Roman" w:cs="Times New Roman"/>
          <w:color w:val="auto"/>
        </w:rPr>
        <w:t>”</w:t>
      </w:r>
      <w:r>
        <w:rPr>
          <w:rFonts w:hint="eastAsia" w:ascii="Times New Roman" w:hAnsi="Times New Roman" w:cs="Times New Roman"/>
          <w:color w:val="auto"/>
          <w:szCs w:val="21"/>
        </w:rPr>
        <w:t>的规定进行启封</w:t>
      </w:r>
      <w:r>
        <w:rPr>
          <w:rFonts w:ascii="Times New Roman" w:hAnsi="Times New Roman" w:cs="Times New Roman"/>
          <w:color w:val="auto"/>
        </w:rPr>
        <w:t>。</w:t>
      </w:r>
    </w:p>
    <w:p w14:paraId="29C72EAD">
      <w:pPr>
        <w:spacing w:line="440" w:lineRule="exact"/>
        <w:ind w:firstLine="420"/>
        <w:rPr>
          <w:rFonts w:ascii="Times New Roman" w:hAnsi="Times New Roman" w:cs="Times New Roman"/>
          <w:color w:val="auto"/>
        </w:rPr>
      </w:pPr>
      <w:r>
        <w:rPr>
          <w:rFonts w:ascii="Times New Roman" w:hAnsi="Times New Roman" w:cs="Times New Roman"/>
          <w:color w:val="auto"/>
        </w:rPr>
        <w:t>供应商若未派法定代表人或其委托代理人出席启封活动，视为该供应商默认启封结果。</w:t>
      </w:r>
    </w:p>
    <w:p w14:paraId="59565E90">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5.2</w:t>
      </w:r>
      <w:r>
        <w:rPr>
          <w:rFonts w:hint="eastAsia" w:ascii="Times New Roman" w:hAnsi="Times New Roman" w:eastAsia="黑体" w:cs="Times New Roman"/>
          <w:bCs/>
          <w:color w:val="auto"/>
          <w:sz w:val="24"/>
          <w:szCs w:val="32"/>
        </w:rPr>
        <w:t>启封</w:t>
      </w:r>
      <w:r>
        <w:rPr>
          <w:rFonts w:ascii="Times New Roman" w:hAnsi="Times New Roman" w:eastAsia="黑体" w:cs="Times New Roman"/>
          <w:bCs/>
          <w:color w:val="auto"/>
          <w:sz w:val="24"/>
          <w:szCs w:val="32"/>
        </w:rPr>
        <w:t>程序</w:t>
      </w:r>
    </w:p>
    <w:p w14:paraId="6176B199">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 xml:space="preserve">5.2.1主持人按下列程序进行启封： </w:t>
      </w:r>
    </w:p>
    <w:p w14:paraId="21881B04">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（1）公布在响应文件递交截止时间</w:t>
      </w:r>
      <w:r>
        <w:rPr>
          <w:rFonts w:hint="eastAsia" w:ascii="Times New Roman" w:hAnsi="Times New Roman" w:cs="Times New Roman"/>
          <w:color w:val="auto"/>
        </w:rPr>
        <w:t>前</w:t>
      </w:r>
      <w:r>
        <w:rPr>
          <w:rFonts w:ascii="Times New Roman" w:hAnsi="Times New Roman" w:cs="Times New Roman"/>
          <w:color w:val="auto"/>
        </w:rPr>
        <w:t>递交响应文件的供应商名称；</w:t>
      </w:r>
    </w:p>
    <w:p w14:paraId="7D813986">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 xml:space="preserve">（2）由供应商推选的代表检查响应文件的密封情况； </w:t>
      </w:r>
    </w:p>
    <w:p w14:paraId="550993A0">
      <w:pPr>
        <w:spacing w:line="440" w:lineRule="exact"/>
        <w:ind w:firstLine="420" w:firstLineChars="200"/>
        <w:rPr>
          <w:rFonts w:ascii="Times New Roman" w:hAnsi="Times New Roman" w:cs="Times New Roman"/>
          <w:bCs/>
          <w:color w:val="auto"/>
        </w:rPr>
      </w:pPr>
      <w:r>
        <w:rPr>
          <w:rFonts w:ascii="Times New Roman" w:hAnsi="Times New Roman" w:cs="Times New Roman"/>
          <w:bCs/>
          <w:color w:val="auto"/>
        </w:rPr>
        <w:t>（</w:t>
      </w:r>
      <w:r>
        <w:rPr>
          <w:rFonts w:hint="eastAsia" w:ascii="Times New Roman" w:hAnsi="Times New Roman" w:cs="Times New Roman"/>
          <w:bCs/>
          <w:color w:val="auto"/>
          <w:lang w:val="en-US" w:eastAsia="zh-CN"/>
        </w:rPr>
        <w:t>3</w:t>
      </w:r>
      <w:r>
        <w:rPr>
          <w:rFonts w:ascii="Times New Roman" w:hAnsi="Times New Roman" w:cs="Times New Roman"/>
          <w:bCs/>
          <w:color w:val="auto"/>
        </w:rPr>
        <w:t>）</w:t>
      </w:r>
      <w:r>
        <w:rPr>
          <w:rFonts w:hint="eastAsia" w:ascii="Times New Roman" w:hAnsi="Times New Roman" w:cs="Times New Roman"/>
          <w:bCs/>
          <w:color w:val="auto"/>
        </w:rPr>
        <w:t>开启报价文件；</w:t>
      </w:r>
    </w:p>
    <w:p w14:paraId="6B715736">
      <w:pPr>
        <w:spacing w:line="440" w:lineRule="exact"/>
        <w:ind w:firstLine="420" w:firstLineChars="200"/>
        <w:rPr>
          <w:rFonts w:ascii="Times New Roman" w:hAnsi="Times New Roman" w:cs="Times New Roman"/>
          <w:bCs/>
          <w:color w:val="auto"/>
        </w:rPr>
      </w:pPr>
      <w:r>
        <w:rPr>
          <w:rFonts w:ascii="Times New Roman" w:hAnsi="Times New Roman" w:cs="Times New Roman"/>
          <w:bCs/>
          <w:color w:val="auto"/>
        </w:rPr>
        <w:t>（</w:t>
      </w:r>
      <w:r>
        <w:rPr>
          <w:rFonts w:hint="eastAsia" w:ascii="Times New Roman" w:hAnsi="Times New Roman" w:cs="Times New Roman"/>
          <w:bCs/>
          <w:color w:val="auto"/>
          <w:lang w:val="en-US" w:eastAsia="zh-CN"/>
        </w:rPr>
        <w:t>4</w:t>
      </w:r>
      <w:r>
        <w:rPr>
          <w:rFonts w:ascii="Times New Roman" w:hAnsi="Times New Roman" w:cs="Times New Roman"/>
          <w:bCs/>
          <w:color w:val="auto"/>
        </w:rPr>
        <w:t>）</w:t>
      </w:r>
      <w:r>
        <w:rPr>
          <w:rFonts w:hint="eastAsia" w:ascii="Times New Roman" w:hAnsi="Times New Roman" w:cs="Times New Roman"/>
          <w:bCs/>
          <w:color w:val="auto"/>
        </w:rPr>
        <w:t>启封</w:t>
      </w:r>
      <w:r>
        <w:rPr>
          <w:rFonts w:ascii="Times New Roman" w:hAnsi="Times New Roman" w:cs="Times New Roman"/>
          <w:color w:val="auto"/>
        </w:rPr>
        <w:t>结束</w:t>
      </w:r>
      <w:r>
        <w:rPr>
          <w:rFonts w:ascii="Times New Roman" w:hAnsi="Times New Roman" w:cs="Times New Roman"/>
          <w:bCs/>
          <w:color w:val="auto"/>
        </w:rPr>
        <w:t>。</w:t>
      </w:r>
    </w:p>
    <w:p w14:paraId="762B96A5">
      <w:pPr>
        <w:spacing w:line="440" w:lineRule="exact"/>
        <w:ind w:firstLine="420" w:firstLineChars="200"/>
        <w:rPr>
          <w:rFonts w:ascii="Times New Roman" w:hAnsi="Times New Roman" w:cs="Times New Roman"/>
          <w:color w:val="auto"/>
        </w:rPr>
      </w:pPr>
      <w:r>
        <w:rPr>
          <w:rFonts w:ascii="Times New Roman" w:hAnsi="Times New Roman" w:cs="Times New Roman"/>
          <w:bCs/>
          <w:color w:val="auto"/>
        </w:rPr>
        <w:t>5.2.2</w:t>
      </w:r>
      <w:r>
        <w:rPr>
          <w:rFonts w:ascii="Times New Roman" w:hAnsi="Times New Roman" w:cs="Times New Roman"/>
          <w:color w:val="auto"/>
        </w:rPr>
        <w:t>供应商</w:t>
      </w:r>
      <w:r>
        <w:rPr>
          <w:rFonts w:hint="eastAsia" w:ascii="Times New Roman" w:hAnsi="Times New Roman" w:cs="Times New Roman"/>
          <w:color w:val="auto"/>
        </w:rPr>
        <w:t>在</w:t>
      </w:r>
      <w:r>
        <w:rPr>
          <w:rFonts w:ascii="Times New Roman" w:hAnsi="Times New Roman" w:cs="Times New Roman"/>
          <w:color w:val="auto"/>
        </w:rPr>
        <w:t>启封过程</w:t>
      </w:r>
      <w:r>
        <w:rPr>
          <w:rFonts w:hint="eastAsia" w:ascii="Times New Roman" w:hAnsi="Times New Roman" w:cs="Times New Roman"/>
          <w:color w:val="auto"/>
        </w:rPr>
        <w:t>中</w:t>
      </w:r>
      <w:r>
        <w:rPr>
          <w:rFonts w:ascii="Times New Roman" w:hAnsi="Times New Roman" w:cs="Times New Roman"/>
          <w:color w:val="auto"/>
        </w:rPr>
        <w:t>有</w:t>
      </w:r>
      <w:r>
        <w:rPr>
          <w:rFonts w:hint="eastAsia" w:ascii="Times New Roman" w:hAnsi="Times New Roman" w:cs="Times New Roman"/>
          <w:color w:val="auto"/>
        </w:rPr>
        <w:t>疑问</w:t>
      </w:r>
      <w:r>
        <w:rPr>
          <w:rFonts w:ascii="Times New Roman" w:hAnsi="Times New Roman" w:cs="Times New Roman"/>
          <w:color w:val="auto"/>
        </w:rPr>
        <w:t>的，应当在</w:t>
      </w:r>
      <w:r>
        <w:rPr>
          <w:rFonts w:hint="eastAsia" w:ascii="Times New Roman" w:hAnsi="Times New Roman" w:cs="Times New Roman"/>
          <w:color w:val="auto"/>
        </w:rPr>
        <w:t>现场</w:t>
      </w:r>
      <w:r>
        <w:rPr>
          <w:rFonts w:ascii="Times New Roman" w:hAnsi="Times New Roman" w:cs="Times New Roman"/>
          <w:color w:val="auto"/>
        </w:rPr>
        <w:t>提出</w:t>
      </w:r>
      <w:r>
        <w:rPr>
          <w:rFonts w:hint="eastAsia" w:ascii="Times New Roman" w:hAnsi="Times New Roman" w:cs="Times New Roman"/>
          <w:color w:val="auto"/>
        </w:rPr>
        <w:t>，</w:t>
      </w:r>
      <w:r>
        <w:rPr>
          <w:rFonts w:ascii="Times New Roman" w:hAnsi="Times New Roman" w:cs="Times New Roman"/>
          <w:color w:val="auto"/>
        </w:rPr>
        <w:t>采购人</w:t>
      </w:r>
      <w:r>
        <w:rPr>
          <w:rFonts w:hint="eastAsia" w:ascii="Times New Roman" w:hAnsi="Times New Roman" w:cs="Times New Roman"/>
          <w:color w:val="auto"/>
        </w:rPr>
        <w:t>将</w:t>
      </w:r>
      <w:r>
        <w:rPr>
          <w:rFonts w:ascii="Times New Roman" w:hAnsi="Times New Roman" w:cs="Times New Roman"/>
          <w:color w:val="auto"/>
        </w:rPr>
        <w:t>当场作出答复。</w:t>
      </w:r>
    </w:p>
    <w:p w14:paraId="013F24AB">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6. 评审</w:t>
      </w:r>
    </w:p>
    <w:p w14:paraId="6E6E56CF">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6.1</w:t>
      </w:r>
      <w:r>
        <w:rPr>
          <w:rFonts w:hint="eastAsia" w:ascii="Times New Roman" w:hAnsi="Times New Roman" w:eastAsia="黑体" w:cs="Times New Roman"/>
          <w:bCs/>
          <w:color w:val="auto"/>
          <w:sz w:val="24"/>
          <w:szCs w:val="32"/>
        </w:rPr>
        <w:t>评审小组</w:t>
      </w:r>
    </w:p>
    <w:p w14:paraId="1A05473A">
      <w:pPr>
        <w:spacing w:line="440" w:lineRule="exact"/>
        <w:ind w:firstLine="420"/>
        <w:rPr>
          <w:rFonts w:ascii="Times New Roman" w:hAnsi="Times New Roman" w:cs="Times New Roman"/>
          <w:color w:val="auto"/>
        </w:rPr>
      </w:pPr>
      <w:r>
        <w:rPr>
          <w:rFonts w:ascii="Times New Roman" w:hAnsi="Times New Roman" w:cs="Times New Roman"/>
          <w:color w:val="auto"/>
        </w:rPr>
        <w:t>评审由采购人</w:t>
      </w:r>
      <w:r>
        <w:rPr>
          <w:rFonts w:hint="eastAsia" w:ascii="Times New Roman" w:hAnsi="Times New Roman" w:cs="Times New Roman"/>
          <w:color w:val="auto"/>
        </w:rPr>
        <w:t>自行</w:t>
      </w:r>
      <w:r>
        <w:rPr>
          <w:rFonts w:ascii="Times New Roman" w:hAnsi="Times New Roman" w:cs="Times New Roman"/>
          <w:color w:val="auto"/>
        </w:rPr>
        <w:t>组建的</w:t>
      </w:r>
      <w:r>
        <w:rPr>
          <w:rFonts w:hint="eastAsia" w:ascii="Times New Roman" w:hAnsi="Times New Roman" w:cs="Times New Roman"/>
          <w:color w:val="auto"/>
        </w:rPr>
        <w:t>评审小组</w:t>
      </w:r>
      <w:r>
        <w:rPr>
          <w:rFonts w:ascii="Times New Roman" w:hAnsi="Times New Roman" w:cs="Times New Roman"/>
          <w:color w:val="auto"/>
        </w:rPr>
        <w:t>负责。</w:t>
      </w:r>
      <w:r>
        <w:rPr>
          <w:rFonts w:hint="eastAsia" w:ascii="Times New Roman" w:hAnsi="Times New Roman" w:cs="Times New Roman"/>
          <w:color w:val="auto"/>
        </w:rPr>
        <w:t>评审小组人数：3人及以上单数</w:t>
      </w:r>
      <w:r>
        <w:rPr>
          <w:rFonts w:ascii="Times New Roman" w:hAnsi="Times New Roman" w:cs="Times New Roman"/>
          <w:color w:val="auto"/>
        </w:rPr>
        <w:t>。</w:t>
      </w:r>
    </w:p>
    <w:p w14:paraId="578A3D08">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6.</w:t>
      </w:r>
      <w:r>
        <w:rPr>
          <w:rFonts w:hint="eastAsia" w:ascii="Times New Roman" w:hAnsi="Times New Roman" w:eastAsia="黑体" w:cs="Times New Roman"/>
          <w:bCs/>
          <w:color w:val="auto"/>
          <w:sz w:val="24"/>
          <w:szCs w:val="32"/>
        </w:rPr>
        <w:t>2</w:t>
      </w:r>
      <w:r>
        <w:rPr>
          <w:rFonts w:ascii="Times New Roman" w:hAnsi="Times New Roman" w:eastAsia="黑体" w:cs="Times New Roman"/>
          <w:bCs/>
          <w:color w:val="auto"/>
          <w:sz w:val="24"/>
          <w:szCs w:val="32"/>
        </w:rPr>
        <w:t>评审</w:t>
      </w:r>
    </w:p>
    <w:p w14:paraId="6D544840">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6.</w:t>
      </w:r>
      <w:r>
        <w:rPr>
          <w:rFonts w:hint="eastAsia" w:ascii="Times New Roman" w:hAnsi="Times New Roman" w:cs="Times New Roman"/>
          <w:color w:val="auto"/>
        </w:rPr>
        <w:t>2</w:t>
      </w:r>
      <w:r>
        <w:rPr>
          <w:rFonts w:ascii="Times New Roman" w:hAnsi="Times New Roman" w:cs="Times New Roman"/>
          <w:color w:val="auto"/>
        </w:rPr>
        <w:t>.1</w:t>
      </w:r>
      <w:r>
        <w:rPr>
          <w:rFonts w:hint="eastAsia" w:ascii="Times New Roman" w:hAnsi="Times New Roman" w:cs="Times New Roman"/>
          <w:color w:val="auto"/>
        </w:rPr>
        <w:t>评审小组</w:t>
      </w:r>
      <w:r>
        <w:rPr>
          <w:rFonts w:ascii="Times New Roman" w:hAnsi="Times New Roman" w:cs="Times New Roman"/>
          <w:color w:val="auto"/>
        </w:rPr>
        <w:t>按照第三章“评审办法”规定的方法、评审因素、标准和程序对响应文件进行评审。</w:t>
      </w:r>
    </w:p>
    <w:p w14:paraId="5564B21D">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6.</w:t>
      </w:r>
      <w:r>
        <w:rPr>
          <w:rFonts w:hint="eastAsia" w:ascii="Times New Roman" w:hAnsi="Times New Roman" w:cs="Times New Roman"/>
          <w:color w:val="auto"/>
        </w:rPr>
        <w:t>2</w:t>
      </w:r>
      <w:r>
        <w:rPr>
          <w:rFonts w:ascii="Times New Roman" w:hAnsi="Times New Roman" w:cs="Times New Roman"/>
          <w:color w:val="auto"/>
        </w:rPr>
        <w:t>.2评审完成后，</w:t>
      </w:r>
      <w:r>
        <w:rPr>
          <w:rFonts w:hint="eastAsia" w:ascii="Times New Roman" w:hAnsi="Times New Roman" w:cs="Times New Roman"/>
          <w:color w:val="auto"/>
        </w:rPr>
        <w:t>评审小组</w:t>
      </w:r>
      <w:r>
        <w:rPr>
          <w:rFonts w:ascii="Times New Roman" w:hAnsi="Times New Roman" w:cs="Times New Roman"/>
          <w:color w:val="auto"/>
        </w:rPr>
        <w:t>应向采购人提交书面评审报告和成交候选人名单。</w:t>
      </w:r>
      <w:r>
        <w:rPr>
          <w:rFonts w:hint="eastAsia" w:ascii="Times New Roman" w:hAnsi="Times New Roman" w:cs="Times New Roman"/>
          <w:color w:val="auto"/>
        </w:rPr>
        <w:t>评审小组</w:t>
      </w:r>
      <w:r>
        <w:rPr>
          <w:rFonts w:ascii="Times New Roman" w:hAnsi="Times New Roman" w:cs="Times New Roman"/>
          <w:color w:val="auto"/>
        </w:rPr>
        <w:t>推荐成交候选人的人数</w:t>
      </w:r>
      <w:r>
        <w:rPr>
          <w:rFonts w:hint="eastAsia" w:ascii="Times New Roman" w:hAnsi="Times New Roman" w:cs="Times New Roman"/>
          <w:color w:val="auto"/>
        </w:rPr>
        <w:t>为：3人（如不足3人，可以按实际数量推荐）</w:t>
      </w:r>
      <w:r>
        <w:rPr>
          <w:rFonts w:ascii="Times New Roman" w:hAnsi="Times New Roman" w:cs="Times New Roman"/>
          <w:color w:val="auto"/>
        </w:rPr>
        <w:t>。</w:t>
      </w:r>
    </w:p>
    <w:p w14:paraId="1311EDE9">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7. 合同授予</w:t>
      </w:r>
    </w:p>
    <w:p w14:paraId="31E0C249">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7.1成交候选人公示</w:t>
      </w:r>
    </w:p>
    <w:p w14:paraId="168A3EAB">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采用公开询比方式采购的项目，公示期不得少于</w:t>
      </w:r>
      <w:r>
        <w:rPr>
          <w:rFonts w:hint="eastAsia" w:ascii="Times New Roman" w:hAnsi="Times New Roman" w:cs="Times New Roman"/>
          <w:color w:val="auto"/>
          <w:lang w:val="en-US" w:eastAsia="zh-CN"/>
        </w:rPr>
        <w:t>3</w:t>
      </w:r>
      <w:r>
        <w:rPr>
          <w:rFonts w:ascii="Times New Roman" w:hAnsi="Times New Roman" w:cs="Times New Roman"/>
          <w:color w:val="auto"/>
        </w:rPr>
        <w:t>日。</w:t>
      </w:r>
    </w:p>
    <w:p w14:paraId="5092D8EC">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7.2评审结果异议</w:t>
      </w:r>
    </w:p>
    <w:p w14:paraId="2C98B56B">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供应商或其他利害关系人对评审结果有异议的，应在成交候选人公示期间提出。</w:t>
      </w:r>
    </w:p>
    <w:p w14:paraId="7974A1FC">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7.3成交候选人履约能力审查</w:t>
      </w:r>
    </w:p>
    <w:p w14:paraId="0A7731C4">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成交候选人的经营、财务状况发生较大变化或存在违法行为，采购人认为可能影响其履约能力的，将在发出成交通知书前提请原</w:t>
      </w:r>
      <w:r>
        <w:rPr>
          <w:rFonts w:hint="eastAsia" w:ascii="Times New Roman" w:hAnsi="Times New Roman" w:cs="Times New Roman"/>
          <w:color w:val="auto"/>
        </w:rPr>
        <w:t>评审小组</w:t>
      </w:r>
      <w:r>
        <w:rPr>
          <w:rFonts w:ascii="Times New Roman" w:hAnsi="Times New Roman" w:cs="Times New Roman"/>
          <w:color w:val="auto"/>
        </w:rPr>
        <w:t>按照询比文件规定的标准和方法进行审查确认。</w:t>
      </w:r>
    </w:p>
    <w:p w14:paraId="19BCF15D">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7.4履约保证金</w:t>
      </w:r>
    </w:p>
    <w:p w14:paraId="0084495E">
      <w:pPr>
        <w:spacing w:line="440" w:lineRule="exact"/>
        <w:ind w:firstLine="420" w:firstLineChars="200"/>
        <w:rPr>
          <w:rFonts w:hint="eastAsia" w:ascii="Times New Roman" w:hAnsi="Times New Roman" w:cs="Times New Roman"/>
          <w:color w:val="auto"/>
          <w:highlight w:val="none"/>
        </w:rPr>
      </w:pPr>
      <w:r>
        <w:rPr>
          <w:rFonts w:ascii="Times New Roman" w:hAnsi="Times New Roman" w:cs="Times New Roman"/>
          <w:color w:val="auto"/>
          <w:highlight w:val="none"/>
        </w:rPr>
        <w:t>7.4.1</w:t>
      </w:r>
      <w:r>
        <w:rPr>
          <w:rFonts w:ascii="宋体" w:hAnsi="宋体" w:eastAsia="宋体" w:cs="宋体"/>
          <w:b w:val="0"/>
          <w:bCs w:val="0"/>
          <w:i w:val="0"/>
          <w:iCs w:val="0"/>
          <w:caps w:val="0"/>
          <w:color w:val="auto"/>
          <w:spacing w:val="0"/>
          <w:sz w:val="21"/>
          <w:szCs w:val="21"/>
        </w:rPr>
        <w:t>成交公示后，在合同签订前，乙方需向甲方支付合同总价</w:t>
      </w:r>
      <w:r>
        <w:rPr>
          <w:rFonts w:hint="eastAsia" w:ascii="宋体" w:hAnsi="宋体" w:eastAsia="宋体" w:cs="宋体"/>
          <w:b w:val="0"/>
          <w:bCs w:val="0"/>
          <w:i w:val="0"/>
          <w:iCs w:val="0"/>
          <w:caps w:val="0"/>
          <w:color w:val="auto"/>
          <w:spacing w:val="0"/>
          <w:sz w:val="21"/>
          <w:szCs w:val="21"/>
          <w:lang w:val="en-US" w:eastAsia="zh-CN"/>
        </w:rPr>
        <w:t>2%</w:t>
      </w:r>
      <w:r>
        <w:rPr>
          <w:rFonts w:ascii="宋体" w:hAnsi="宋体" w:eastAsia="宋体" w:cs="宋体"/>
          <w:b w:val="0"/>
          <w:bCs w:val="0"/>
          <w:i w:val="0"/>
          <w:iCs w:val="0"/>
          <w:caps w:val="0"/>
          <w:color w:val="auto"/>
          <w:spacing w:val="0"/>
          <w:sz w:val="21"/>
          <w:szCs w:val="21"/>
        </w:rPr>
        <w:t>的履约保证金或提供合同总价</w:t>
      </w:r>
      <w:r>
        <w:rPr>
          <w:rFonts w:hint="eastAsia" w:ascii="宋体" w:hAnsi="宋体" w:eastAsia="宋体" w:cs="宋体"/>
          <w:b w:val="0"/>
          <w:bCs w:val="0"/>
          <w:i w:val="0"/>
          <w:iCs w:val="0"/>
          <w:caps w:val="0"/>
          <w:color w:val="auto"/>
          <w:spacing w:val="0"/>
          <w:sz w:val="21"/>
          <w:szCs w:val="21"/>
          <w:lang w:val="en-US" w:eastAsia="zh-CN"/>
        </w:rPr>
        <w:t>5%</w:t>
      </w:r>
      <w:r>
        <w:rPr>
          <w:rFonts w:ascii="宋体" w:hAnsi="宋体" w:eastAsia="宋体" w:cs="宋体"/>
          <w:b w:val="0"/>
          <w:bCs w:val="0"/>
          <w:i w:val="0"/>
          <w:iCs w:val="0"/>
          <w:caps w:val="0"/>
          <w:color w:val="auto"/>
          <w:spacing w:val="0"/>
          <w:sz w:val="21"/>
          <w:szCs w:val="21"/>
        </w:rPr>
        <w:t xml:space="preserve">的银行保函。 </w:t>
      </w:r>
    </w:p>
    <w:p w14:paraId="746179DA">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7.4.2 成交人不能</w:t>
      </w:r>
      <w:r>
        <w:rPr>
          <w:rFonts w:ascii="Times New Roman" w:hAnsi="Times New Roman" w:cs="Times New Roman"/>
          <w:color w:val="auto"/>
          <w:highlight w:val="none"/>
        </w:rPr>
        <w:t>按本章第7.</w:t>
      </w:r>
      <w:r>
        <w:rPr>
          <w:rFonts w:hint="eastAsia" w:ascii="Times New Roman" w:hAnsi="Times New Roman" w:cs="Times New Roman"/>
          <w:color w:val="auto"/>
          <w:highlight w:val="none"/>
        </w:rPr>
        <w:t>4</w:t>
      </w:r>
      <w:r>
        <w:rPr>
          <w:rFonts w:ascii="Times New Roman" w:hAnsi="Times New Roman" w:cs="Times New Roman"/>
          <w:color w:val="auto"/>
          <w:highlight w:val="none"/>
        </w:rPr>
        <w:t>.1项要</w:t>
      </w:r>
      <w:r>
        <w:rPr>
          <w:rFonts w:ascii="Times New Roman" w:hAnsi="Times New Roman" w:cs="Times New Roman"/>
          <w:color w:val="auto"/>
        </w:rPr>
        <w:t>求提交履约保证金的，视为放弃成交候选人，其响应保证金不予退还，给采购人造成的损失超过响应保证金数额的，成交人还应当对超过部分予以赔偿。</w:t>
      </w:r>
    </w:p>
    <w:p w14:paraId="5A8C8460">
      <w:pPr>
        <w:pStyle w:val="2"/>
        <w:spacing w:line="440" w:lineRule="exact"/>
        <w:ind w:firstLine="420" w:firstLineChars="200"/>
        <w:rPr>
          <w:color w:val="auto"/>
        </w:rPr>
      </w:pPr>
      <w:r>
        <w:rPr>
          <w:rFonts w:hint="eastAsia" w:ascii="Times New Roman" w:hAnsi="Times New Roman" w:cs="Times New Roman"/>
          <w:color w:val="auto"/>
        </w:rPr>
        <w:t>7.4.3履约保证金在</w:t>
      </w:r>
      <w:r>
        <w:rPr>
          <w:rFonts w:hint="eastAsia" w:ascii="宋体" w:hAnsi="宋体" w:eastAsia="宋体" w:cs="宋体"/>
          <w:color w:val="auto"/>
          <w:szCs w:val="21"/>
        </w:rPr>
        <w:t>该项目物资供应整体验收完成后28天内无息退还。</w:t>
      </w:r>
    </w:p>
    <w:p w14:paraId="5BBF2B2B">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7.5签订合同</w:t>
      </w:r>
    </w:p>
    <w:p w14:paraId="4FE7F7B9">
      <w:pPr>
        <w:spacing w:line="440" w:lineRule="exact"/>
        <w:ind w:firstLine="420"/>
        <w:rPr>
          <w:rFonts w:ascii="Times New Roman" w:hAnsi="Times New Roman" w:cs="Times New Roman"/>
          <w:color w:val="auto"/>
        </w:rPr>
      </w:pPr>
      <w:r>
        <w:rPr>
          <w:rFonts w:ascii="Times New Roman" w:hAnsi="Times New Roman" w:cs="Times New Roman"/>
          <w:color w:val="auto"/>
        </w:rPr>
        <w:t>采购人和成交人应在响应有效期内以及成交通知书发出之日起30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14:paraId="11174BA7">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8. 纪律和监督</w:t>
      </w:r>
    </w:p>
    <w:p w14:paraId="45BDF82B">
      <w:pPr>
        <w:keepNext/>
        <w:keepLines/>
        <w:spacing w:before="120" w:after="120"/>
        <w:outlineLvl w:val="2"/>
        <w:rPr>
          <w:rFonts w:ascii="Times New Roman" w:hAnsi="Times New Roman" w:eastAsia="黑体" w:cs="Times New Roman"/>
          <w:bCs/>
          <w:color w:val="auto"/>
          <w:sz w:val="24"/>
          <w:szCs w:val="32"/>
        </w:rPr>
      </w:pPr>
      <w:r>
        <w:rPr>
          <w:rFonts w:hint="eastAsia" w:ascii="Times New Roman" w:hAnsi="Times New Roman" w:eastAsia="黑体" w:cs="Times New Roman"/>
          <w:bCs/>
          <w:color w:val="auto"/>
          <w:sz w:val="24"/>
          <w:szCs w:val="32"/>
        </w:rPr>
        <w:t>8.1 对采购人的纪律要求</w:t>
      </w:r>
    </w:p>
    <w:p w14:paraId="23E673CC">
      <w:pPr>
        <w:spacing w:line="440" w:lineRule="exact"/>
        <w:ind w:firstLine="420"/>
        <w:rPr>
          <w:rFonts w:ascii="Times New Roman" w:hAnsi="Times New Roman" w:cs="Times New Roman"/>
          <w:color w:val="auto"/>
        </w:rPr>
      </w:pPr>
      <w:r>
        <w:rPr>
          <w:rFonts w:hint="eastAsia" w:ascii="Times New Roman" w:hAnsi="Times New Roman" w:cs="Times New Roman"/>
          <w:color w:val="auto"/>
        </w:rPr>
        <w:t>采购人不得泄露采购活动中应当保密的情况和资料， 不得与响应供应商串通损害国家利益、社会公共利益或者他人合法权益。</w:t>
      </w:r>
    </w:p>
    <w:p w14:paraId="5AF51B58">
      <w:pPr>
        <w:keepNext/>
        <w:keepLines/>
        <w:spacing w:before="120" w:after="120"/>
        <w:outlineLvl w:val="2"/>
        <w:rPr>
          <w:rFonts w:ascii="Times New Roman" w:hAnsi="Times New Roman" w:eastAsia="黑体" w:cs="Times New Roman"/>
          <w:bCs/>
          <w:color w:val="auto"/>
          <w:sz w:val="24"/>
          <w:szCs w:val="32"/>
        </w:rPr>
      </w:pPr>
      <w:r>
        <w:rPr>
          <w:rFonts w:hint="eastAsia" w:ascii="Times New Roman" w:hAnsi="Times New Roman" w:eastAsia="黑体" w:cs="Times New Roman"/>
          <w:bCs/>
          <w:color w:val="auto"/>
          <w:sz w:val="24"/>
          <w:szCs w:val="32"/>
        </w:rPr>
        <w:t>8.2对响应供应商的纪律要求</w:t>
      </w:r>
    </w:p>
    <w:p w14:paraId="0826EEB1">
      <w:pPr>
        <w:spacing w:line="440" w:lineRule="exact"/>
        <w:ind w:firstLine="420"/>
        <w:rPr>
          <w:rFonts w:ascii="Times New Roman" w:hAnsi="Times New Roman" w:cs="Times New Roman"/>
          <w:color w:val="auto"/>
        </w:rPr>
      </w:pPr>
      <w:r>
        <w:rPr>
          <w:rFonts w:hint="eastAsia" w:ascii="Times New Roman" w:hAnsi="Times New Roman" w:cs="Times New Roman"/>
          <w:color w:val="auto"/>
        </w:rPr>
        <w:t>供应商不得相互串通报价或与采购人串通报价，不得向采购人或评审小组成员行贿谋取成交，不得以他人名义报价或以其他方式弄虚作假骗取成交；供应商不得以任何方式干扰、影响评审工作。</w:t>
      </w:r>
    </w:p>
    <w:p w14:paraId="589FA91B">
      <w:pPr>
        <w:keepNext/>
        <w:keepLines/>
        <w:spacing w:before="120" w:after="120"/>
        <w:outlineLvl w:val="2"/>
        <w:rPr>
          <w:rFonts w:ascii="Times New Roman" w:hAnsi="Times New Roman" w:eastAsia="黑体" w:cs="Times New Roman"/>
          <w:bCs/>
          <w:color w:val="auto"/>
          <w:sz w:val="24"/>
          <w:szCs w:val="32"/>
        </w:rPr>
      </w:pPr>
      <w:r>
        <w:rPr>
          <w:rFonts w:hint="eastAsia" w:ascii="Times New Roman" w:hAnsi="Times New Roman" w:eastAsia="黑体" w:cs="Times New Roman"/>
          <w:bCs/>
          <w:color w:val="auto"/>
          <w:sz w:val="24"/>
          <w:szCs w:val="32"/>
        </w:rPr>
        <w:t>8.3 对评审小组成员的纪律要求</w:t>
      </w:r>
    </w:p>
    <w:p w14:paraId="0027627B">
      <w:pPr>
        <w:spacing w:line="440" w:lineRule="exact"/>
        <w:ind w:firstLine="420"/>
        <w:rPr>
          <w:rFonts w:ascii="Times New Roman" w:hAnsi="Times New Roman" w:cs="Times New Roman"/>
          <w:color w:val="auto"/>
        </w:rPr>
      </w:pPr>
      <w:r>
        <w:rPr>
          <w:rFonts w:hint="eastAsia" w:ascii="Times New Roman" w:hAnsi="Times New Roman" w:cs="Times New Roman"/>
          <w:color w:val="auto"/>
        </w:rPr>
        <w:t>评审小组成员不得收受他人的财物或者其他好处，不得向他人透露对响应文件的评审和比较、</w:t>
      </w:r>
      <w:r>
        <w:rPr>
          <w:rFonts w:hint="eastAsia" w:ascii="Times New Roman" w:hAnsi="Times New Roman" w:cs="Times New Roman"/>
          <w:color w:val="auto"/>
          <w:lang w:val="en-US" w:eastAsia="zh-CN"/>
        </w:rPr>
        <w:t>成交</w:t>
      </w:r>
      <w:r>
        <w:rPr>
          <w:rFonts w:hint="eastAsia" w:ascii="Times New Roman" w:hAnsi="Times New Roman" w:cs="Times New Roman"/>
          <w:color w:val="auto"/>
        </w:rPr>
        <w:t>候选人的推荐情况以及评审有关的其他情况。在评审活动中，评审小组成员应当客观、公正地履行职责，遵守职业道德，不得擅离职守，影响评</w:t>
      </w:r>
      <w:r>
        <w:rPr>
          <w:rFonts w:hint="eastAsia" w:ascii="Times New Roman" w:hAnsi="Times New Roman" w:cs="Times New Roman"/>
          <w:color w:val="auto"/>
          <w:lang w:val="en-US" w:eastAsia="zh-CN"/>
        </w:rPr>
        <w:t>审</w:t>
      </w:r>
      <w:r>
        <w:rPr>
          <w:rFonts w:hint="eastAsia" w:ascii="Times New Roman" w:hAnsi="Times New Roman" w:cs="Times New Roman"/>
          <w:color w:val="auto"/>
        </w:rPr>
        <w:t>程序正常进行，不得使用第三章“评审办法”没有规定的评审因素和标准进行评审。</w:t>
      </w:r>
    </w:p>
    <w:p w14:paraId="01F9AADB">
      <w:pPr>
        <w:keepNext/>
        <w:keepLines/>
        <w:spacing w:before="156" w:beforeLines="50" w:after="156" w:afterLines="50"/>
        <w:outlineLvl w:val="1"/>
        <w:rPr>
          <w:rFonts w:ascii="Times New Roman" w:hAnsi="Times New Roman" w:eastAsia="黑体" w:cs="Times New Roman"/>
          <w:bCs/>
          <w:color w:val="auto"/>
          <w:sz w:val="24"/>
          <w:szCs w:val="32"/>
        </w:rPr>
      </w:pPr>
      <w:r>
        <w:rPr>
          <w:rFonts w:hint="eastAsia" w:ascii="Times New Roman" w:hAnsi="Times New Roman" w:eastAsia="黑体" w:cs="Times New Roman"/>
          <w:bCs/>
          <w:color w:val="auto"/>
          <w:sz w:val="24"/>
          <w:szCs w:val="32"/>
        </w:rPr>
        <w:t xml:space="preserve">9. </w:t>
      </w:r>
      <w:r>
        <w:rPr>
          <w:rFonts w:ascii="Times New Roman" w:hAnsi="Times New Roman" w:eastAsia="黑体" w:cs="Times New Roman"/>
          <w:bCs/>
          <w:color w:val="auto"/>
          <w:sz w:val="24"/>
          <w:szCs w:val="32"/>
        </w:rPr>
        <w:t>需要补充的其他内容</w:t>
      </w:r>
    </w:p>
    <w:p w14:paraId="621C4071">
      <w:pPr>
        <w:spacing w:line="440" w:lineRule="exact"/>
        <w:ind w:firstLine="420"/>
        <w:rPr>
          <w:rFonts w:ascii="Times New Roman" w:hAnsi="Times New Roman" w:cs="Times New Roman"/>
          <w:color w:val="auto"/>
        </w:rPr>
      </w:pPr>
      <w:r>
        <w:rPr>
          <w:rFonts w:hint="eastAsia" w:ascii="Times New Roman" w:hAnsi="Times New Roman" w:cs="Times New Roman"/>
          <w:color w:val="auto"/>
        </w:rPr>
        <w:t>需要补充的其他内容：见供应商须知前附表。</w:t>
      </w:r>
    </w:p>
    <w:bookmarkEnd w:id="49"/>
    <w:bookmarkEnd w:id="50"/>
    <w:bookmarkEnd w:id="51"/>
    <w:p w14:paraId="70E10FB2">
      <w:pPr>
        <w:spacing w:line="440" w:lineRule="exact"/>
        <w:ind w:firstLine="420"/>
        <w:rPr>
          <w:rFonts w:ascii="Times New Roman" w:hAnsi="Times New Roman" w:cs="Times New Roman"/>
          <w:color w:val="auto"/>
        </w:rPr>
      </w:pPr>
      <w:r>
        <w:rPr>
          <w:rFonts w:hint="eastAsia" w:ascii="Times New Roman" w:hAnsi="Times New Roman" w:cs="Times New Roman"/>
          <w:color w:val="auto"/>
        </w:rPr>
        <w:br w:type="page"/>
      </w:r>
    </w:p>
    <w:p w14:paraId="052405B8">
      <w:pPr>
        <w:pStyle w:val="5"/>
        <w:spacing w:before="312" w:after="312"/>
        <w:rPr>
          <w:rFonts w:ascii="Times New Roman" w:hAnsi="Times New Roman" w:eastAsia="宋体" w:cs="Times New Roman"/>
          <w:color w:val="auto"/>
        </w:rPr>
      </w:pPr>
      <w:bookmarkStart w:id="52" w:name="_Toc11712"/>
      <w:r>
        <w:rPr>
          <w:rFonts w:ascii="Times New Roman" w:hAnsi="Times New Roman" w:eastAsia="宋体" w:cs="Times New Roman"/>
          <w:color w:val="auto"/>
        </w:rPr>
        <w:t>评审办法</w:t>
      </w:r>
      <w:bookmarkEnd w:id="52"/>
    </w:p>
    <w:p w14:paraId="7E4C9365">
      <w:pPr>
        <w:rPr>
          <w:rFonts w:ascii="Times New Roman" w:hAnsi="Times New Roman" w:eastAsia="宋体" w:cs="Times New Roman"/>
          <w:color w:val="auto"/>
        </w:rPr>
        <w:sectPr>
          <w:footerReference r:id="rId5" w:type="default"/>
          <w:footnotePr>
            <w:numFmt w:val="decimalEnclosedCircleChinese"/>
            <w:numRestart w:val="eachPage"/>
          </w:footnotePr>
          <w:pgSz w:w="11906" w:h="16838"/>
          <w:pgMar w:top="1440" w:right="1797" w:bottom="1440" w:left="1797" w:header="851" w:footer="992" w:gutter="0"/>
          <w:pgNumType w:fmt="decimal"/>
          <w:cols w:space="720" w:num="1"/>
          <w:docGrid w:type="linesAndChars" w:linePitch="312" w:charSpace="0"/>
        </w:sectPr>
      </w:pPr>
    </w:p>
    <w:p w14:paraId="5161DC14">
      <w:pPr>
        <w:spacing w:after="312" w:afterLines="100" w:line="420" w:lineRule="exact"/>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rPr>
        <w:t>评审</w:t>
      </w:r>
      <w:r>
        <w:rPr>
          <w:rFonts w:ascii="Times New Roman" w:hAnsi="Times New Roman" w:eastAsia="黑体" w:cs="Times New Roman"/>
          <w:color w:val="auto"/>
          <w:sz w:val="28"/>
          <w:szCs w:val="28"/>
          <w:highlight w:val="none"/>
        </w:rPr>
        <w:t>办法前附表</w:t>
      </w:r>
      <w:r>
        <w:rPr>
          <w:rFonts w:hint="eastAsia" w:ascii="Times New Roman" w:hAnsi="Times New Roman" w:eastAsia="黑体" w:cs="Times New Roman"/>
          <w:color w:val="auto"/>
          <w:sz w:val="28"/>
          <w:szCs w:val="28"/>
          <w:highlight w:val="none"/>
        </w:rPr>
        <w:t>（最低价法）</w:t>
      </w:r>
    </w:p>
    <w:p w14:paraId="3244C7F4">
      <w:pPr>
        <w:keepNext/>
        <w:keepLines/>
        <w:spacing w:line="400" w:lineRule="exact"/>
        <w:rPr>
          <w:rFonts w:hint="eastAsia" w:ascii="宋体" w:hAnsi="宋体" w:eastAsia="宋体" w:cs="宋体"/>
          <w:b/>
          <w:bCs/>
          <w:color w:val="auto"/>
          <w:kern w:val="0"/>
          <w:sz w:val="28"/>
          <w:szCs w:val="28"/>
          <w:highlight w:val="none"/>
        </w:rPr>
      </w:pPr>
      <w:bookmarkStart w:id="53" w:name="_Toc457482536"/>
      <w:bookmarkStart w:id="54" w:name="_Toc152042304"/>
      <w:bookmarkStart w:id="55" w:name="_Toc14847"/>
      <w:bookmarkStart w:id="56" w:name="_Toc447808662"/>
      <w:bookmarkStart w:id="57" w:name="_Toc3834"/>
      <w:bookmarkStart w:id="58" w:name="_Toc144974496"/>
      <w:bookmarkStart w:id="59" w:name="_Toc152045528"/>
      <w:r>
        <w:rPr>
          <w:rFonts w:hint="eastAsia" w:ascii="宋体" w:hAnsi="宋体" w:eastAsia="宋体" w:cs="宋体"/>
          <w:b/>
          <w:bCs/>
          <w:color w:val="auto"/>
          <w:kern w:val="0"/>
          <w:sz w:val="28"/>
          <w:szCs w:val="28"/>
          <w:highlight w:val="none"/>
        </w:rPr>
        <w:t>前附表</w:t>
      </w:r>
      <w:bookmarkEnd w:id="53"/>
      <w:bookmarkEnd w:id="54"/>
      <w:bookmarkEnd w:id="55"/>
      <w:bookmarkEnd w:id="56"/>
      <w:bookmarkEnd w:id="57"/>
      <w:bookmarkEnd w:id="58"/>
      <w:bookmarkEnd w:id="59"/>
      <w:r>
        <w:rPr>
          <w:rFonts w:hint="eastAsia" w:ascii="宋体" w:hAnsi="宋体" w:eastAsia="宋体" w:cs="宋体"/>
          <w:b/>
          <w:bCs/>
          <w:color w:val="auto"/>
          <w:kern w:val="0"/>
          <w:sz w:val="28"/>
          <w:szCs w:val="28"/>
          <w:highlight w:val="none"/>
        </w:rPr>
        <w:t>A</w:t>
      </w:r>
    </w:p>
    <w:tbl>
      <w:tblPr>
        <w:tblStyle w:val="20"/>
        <w:tblW w:w="91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7"/>
        <w:gridCol w:w="1064"/>
        <w:gridCol w:w="1773"/>
        <w:gridCol w:w="17"/>
        <w:gridCol w:w="5657"/>
      </w:tblGrid>
      <w:tr w14:paraId="0A870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748" w:type="dxa"/>
            <w:gridSpan w:val="2"/>
            <w:vAlign w:val="center"/>
          </w:tcPr>
          <w:p w14:paraId="13B7A992">
            <w:pPr>
              <w:widowControl/>
              <w:jc w:val="center"/>
              <w:rPr>
                <w:rFonts w:ascii="Times New Roman" w:hAnsi="Times New Roman" w:cs="Times New Roman"/>
                <w:color w:val="auto"/>
                <w:kern w:val="0"/>
                <w:szCs w:val="21"/>
                <w:highlight w:val="none"/>
              </w:rPr>
            </w:pPr>
            <w:r>
              <w:rPr>
                <w:rFonts w:ascii="Times New Roman" w:hAnsi="Times New Roman" w:cs="Times New Roman"/>
                <w:b/>
                <w:bCs/>
                <w:color w:val="auto"/>
                <w:kern w:val="0"/>
                <w:szCs w:val="21"/>
                <w:highlight w:val="none"/>
              </w:rPr>
              <w:t>条款号</w:t>
            </w:r>
          </w:p>
        </w:tc>
        <w:tc>
          <w:tcPr>
            <w:tcW w:w="1774" w:type="dxa"/>
            <w:vAlign w:val="center"/>
          </w:tcPr>
          <w:p w14:paraId="07F0F5EC">
            <w:pPr>
              <w:widowControl/>
              <w:ind w:firstLine="105" w:firstLineChars="50"/>
              <w:jc w:val="center"/>
              <w:rPr>
                <w:rFonts w:ascii="Times New Roman" w:hAnsi="Times New Roman" w:cs="Times New Roman"/>
                <w:color w:val="auto"/>
                <w:kern w:val="0"/>
                <w:szCs w:val="21"/>
                <w:highlight w:val="none"/>
              </w:rPr>
            </w:pPr>
            <w:r>
              <w:rPr>
                <w:rFonts w:ascii="Times New Roman" w:hAnsi="Times New Roman" w:cs="Times New Roman"/>
                <w:b/>
                <w:bCs/>
                <w:color w:val="auto"/>
                <w:kern w:val="0"/>
                <w:szCs w:val="21"/>
                <w:highlight w:val="none"/>
              </w:rPr>
              <w:t>评审因素</w:t>
            </w:r>
          </w:p>
        </w:tc>
        <w:tc>
          <w:tcPr>
            <w:tcW w:w="5676" w:type="dxa"/>
            <w:gridSpan w:val="2"/>
            <w:vAlign w:val="center"/>
          </w:tcPr>
          <w:p w14:paraId="421714D5">
            <w:pPr>
              <w:widowControl/>
              <w:ind w:firstLine="105" w:firstLineChars="50"/>
              <w:jc w:val="center"/>
              <w:rPr>
                <w:rFonts w:ascii="Times New Roman" w:hAnsi="Times New Roman" w:cs="Times New Roman"/>
                <w:color w:val="auto"/>
                <w:kern w:val="0"/>
                <w:szCs w:val="21"/>
                <w:highlight w:val="none"/>
              </w:rPr>
            </w:pPr>
            <w:r>
              <w:rPr>
                <w:rFonts w:ascii="Times New Roman" w:hAnsi="Times New Roman" w:cs="Times New Roman"/>
                <w:b/>
                <w:bCs/>
                <w:color w:val="auto"/>
                <w:kern w:val="0"/>
                <w:szCs w:val="21"/>
                <w:highlight w:val="none"/>
              </w:rPr>
              <w:t>评审标准</w:t>
            </w:r>
          </w:p>
        </w:tc>
      </w:tr>
      <w:tr w14:paraId="22D94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8" w:type="dxa"/>
            <w:vAlign w:val="center"/>
          </w:tcPr>
          <w:p w14:paraId="7A4E3171">
            <w:pPr>
              <w:widowControl/>
              <w:jc w:val="center"/>
              <w:rPr>
                <w:rFonts w:ascii="Times New Roman" w:hAnsi="Times New Roman" w:cs="Times New Roman"/>
                <w:bCs/>
                <w:color w:val="auto"/>
                <w:kern w:val="0"/>
                <w:szCs w:val="21"/>
                <w:highlight w:val="none"/>
              </w:rPr>
            </w:pPr>
            <w:r>
              <w:rPr>
                <w:rFonts w:ascii="Times New Roman" w:hAnsi="Times New Roman" w:cs="Times New Roman"/>
                <w:bCs/>
                <w:color w:val="auto"/>
                <w:kern w:val="0"/>
                <w:szCs w:val="21"/>
                <w:highlight w:val="none"/>
              </w:rPr>
              <w:t>1</w:t>
            </w:r>
          </w:p>
        </w:tc>
        <w:tc>
          <w:tcPr>
            <w:tcW w:w="1060" w:type="dxa"/>
            <w:vAlign w:val="center"/>
          </w:tcPr>
          <w:p w14:paraId="24CBBDC1">
            <w:pPr>
              <w:widowControl/>
              <w:jc w:val="center"/>
              <w:rPr>
                <w:rFonts w:ascii="Times New Roman" w:hAnsi="Times New Roman" w:cs="Times New Roman"/>
                <w:bCs/>
                <w:color w:val="auto"/>
                <w:kern w:val="0"/>
                <w:szCs w:val="21"/>
                <w:highlight w:val="none"/>
              </w:rPr>
            </w:pPr>
            <w:r>
              <w:rPr>
                <w:rFonts w:ascii="Times New Roman" w:hAnsi="Times New Roman" w:cs="Times New Roman"/>
                <w:bCs/>
                <w:color w:val="auto"/>
                <w:kern w:val="0"/>
                <w:szCs w:val="21"/>
                <w:highlight w:val="none"/>
              </w:rPr>
              <w:t>评审</w:t>
            </w:r>
            <w:r>
              <w:rPr>
                <w:rFonts w:hint="eastAsia" w:ascii="Times New Roman" w:hAnsi="Times New Roman" w:cs="Times New Roman"/>
                <w:bCs/>
                <w:color w:val="auto"/>
                <w:kern w:val="0"/>
                <w:szCs w:val="21"/>
                <w:highlight w:val="none"/>
              </w:rPr>
              <w:t>方</w:t>
            </w:r>
            <w:r>
              <w:rPr>
                <w:rFonts w:ascii="Times New Roman" w:hAnsi="Times New Roman" w:cs="Times New Roman"/>
                <w:bCs/>
                <w:color w:val="auto"/>
                <w:kern w:val="0"/>
                <w:szCs w:val="21"/>
                <w:highlight w:val="none"/>
              </w:rPr>
              <w:t>法</w:t>
            </w:r>
          </w:p>
        </w:tc>
        <w:tc>
          <w:tcPr>
            <w:tcW w:w="1774" w:type="dxa"/>
            <w:tcMar>
              <w:left w:w="75" w:type="dxa"/>
            </w:tcMar>
            <w:vAlign w:val="center"/>
          </w:tcPr>
          <w:p w14:paraId="373B58C6">
            <w:pPr>
              <w:widowControl/>
              <w:adjustRightInd w:val="0"/>
              <w:snapToGrid w:val="0"/>
              <w:jc w:val="center"/>
              <w:rPr>
                <w:rFonts w:ascii="Times New Roman" w:hAnsi="Times New Roman" w:cs="Times New Roman"/>
                <w:color w:val="auto"/>
                <w:kern w:val="0"/>
                <w:szCs w:val="21"/>
                <w:highlight w:val="none"/>
              </w:rPr>
            </w:pPr>
            <w:r>
              <w:rPr>
                <w:rFonts w:ascii="Times New Roman" w:hAnsi="Times New Roman" w:cs="Times New Roman"/>
                <w:color w:val="auto"/>
                <w:kern w:val="0"/>
                <w:szCs w:val="21"/>
                <w:highlight w:val="none"/>
              </w:rPr>
              <w:t>成交候选人</w:t>
            </w:r>
          </w:p>
          <w:p w14:paraId="7AC97E97">
            <w:pPr>
              <w:widowControl/>
              <w:adjustRightInd w:val="0"/>
              <w:snapToGrid w:val="0"/>
              <w:jc w:val="center"/>
              <w:rPr>
                <w:rFonts w:ascii="Times New Roman" w:hAnsi="Times New Roman" w:cs="Times New Roman"/>
                <w:color w:val="auto"/>
                <w:kern w:val="0"/>
                <w:szCs w:val="21"/>
                <w:highlight w:val="none"/>
              </w:rPr>
            </w:pPr>
            <w:r>
              <w:rPr>
                <w:rFonts w:ascii="Times New Roman" w:hAnsi="Times New Roman" w:cs="Times New Roman"/>
                <w:color w:val="auto"/>
                <w:kern w:val="0"/>
                <w:szCs w:val="21"/>
                <w:highlight w:val="none"/>
              </w:rPr>
              <w:t>排序方法</w:t>
            </w:r>
          </w:p>
        </w:tc>
        <w:tc>
          <w:tcPr>
            <w:tcW w:w="5676" w:type="dxa"/>
            <w:gridSpan w:val="2"/>
            <w:tcMar>
              <w:left w:w="75" w:type="dxa"/>
            </w:tcMar>
            <w:vAlign w:val="center"/>
          </w:tcPr>
          <w:p w14:paraId="1F0A5ED1">
            <w:pPr>
              <w:widowControl/>
              <w:adjustRightInd w:val="0"/>
              <w:snapToGrid w:val="0"/>
              <w:jc w:val="left"/>
              <w:rPr>
                <w:color w:val="auto"/>
                <w:highlight w:val="none"/>
              </w:rPr>
            </w:pPr>
            <w:r>
              <w:rPr>
                <w:rFonts w:hint="eastAsia"/>
                <w:color w:val="auto"/>
                <w:highlight w:val="none"/>
              </w:rPr>
              <w:t>按评审价由低到高的顺序依次推荐成交候选人：</w:t>
            </w:r>
          </w:p>
          <w:p w14:paraId="6BE44A6B">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评审价相等时，评审委员会依次按照以下优先顺序推荐成交候选人：</w:t>
            </w:r>
          </w:p>
          <w:p w14:paraId="3007EA8D">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（1）响应文件提供的合格业绩数量多的</w:t>
            </w:r>
            <w:r>
              <w:rPr>
                <w:rFonts w:hint="eastAsia" w:ascii="宋体" w:hAnsi="宋体" w:eastAsia="宋体" w:cs="宋体"/>
                <w:color w:val="auto"/>
                <w:szCs w:val="21"/>
                <w:highlight w:val="none"/>
                <w:lang w:val="en-US" w:eastAsia="zh-CN"/>
              </w:rPr>
              <w:t>响应</w:t>
            </w:r>
            <w:r>
              <w:rPr>
                <w:rFonts w:hint="eastAsia" w:ascii="宋体" w:hAnsi="宋体" w:eastAsia="宋体" w:cs="宋体"/>
                <w:color w:val="auto"/>
                <w:szCs w:val="21"/>
                <w:highlight w:val="none"/>
              </w:rPr>
              <w:t>人优先；</w:t>
            </w:r>
          </w:p>
          <w:p w14:paraId="3ABDEA7B">
            <w:pPr>
              <w:spacing w:line="440" w:lineRule="exact"/>
              <w:rPr>
                <w:color w:val="auto"/>
                <w:highlight w:val="none"/>
              </w:rPr>
            </w:pPr>
            <w:r>
              <w:rPr>
                <w:rFonts w:hint="eastAsia" w:ascii="宋体" w:hAnsi="宋体" w:eastAsia="宋体" w:cs="宋体"/>
                <w:color w:val="auto"/>
                <w:szCs w:val="21"/>
                <w:highlight w:val="none"/>
              </w:rPr>
              <w:t>（2）递交响应文件时间早的</w:t>
            </w:r>
            <w:r>
              <w:rPr>
                <w:rFonts w:hint="eastAsia" w:ascii="宋体" w:hAnsi="宋体" w:eastAsia="宋体" w:cs="宋体"/>
                <w:color w:val="auto"/>
                <w:szCs w:val="21"/>
                <w:highlight w:val="none"/>
                <w:lang w:val="en-US" w:eastAsia="zh-CN"/>
              </w:rPr>
              <w:t>响应</w:t>
            </w:r>
            <w:r>
              <w:rPr>
                <w:rFonts w:hint="eastAsia" w:ascii="宋体" w:hAnsi="宋体" w:eastAsia="宋体" w:cs="宋体"/>
                <w:color w:val="auto"/>
                <w:szCs w:val="21"/>
                <w:highlight w:val="none"/>
              </w:rPr>
              <w:t>人优先。</w:t>
            </w:r>
          </w:p>
        </w:tc>
      </w:tr>
      <w:tr w14:paraId="32E62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748" w:type="dxa"/>
            <w:gridSpan w:val="2"/>
            <w:vAlign w:val="center"/>
          </w:tcPr>
          <w:p w14:paraId="038E798E">
            <w:pPr>
              <w:widowControl/>
              <w:spacing w:line="360" w:lineRule="atLeast"/>
              <w:jc w:val="center"/>
              <w:rPr>
                <w:rFonts w:hint="eastAsia" w:ascii="宋体" w:hAnsi="宋体" w:eastAsia="宋体" w:cs="宋体"/>
                <w:color w:val="auto"/>
                <w:kern w:val="0"/>
                <w:szCs w:val="21"/>
              </w:rPr>
            </w:pPr>
            <w:r>
              <w:rPr>
                <w:rFonts w:hint="eastAsia" w:ascii="宋体" w:hAnsi="宋体" w:eastAsia="宋体" w:cs="宋体"/>
                <w:b/>
                <w:bCs/>
                <w:color w:val="auto"/>
                <w:kern w:val="0"/>
                <w:szCs w:val="21"/>
              </w:rPr>
              <w:t>条款号</w:t>
            </w:r>
          </w:p>
        </w:tc>
        <w:tc>
          <w:tcPr>
            <w:tcW w:w="1791" w:type="dxa"/>
            <w:gridSpan w:val="2"/>
            <w:vAlign w:val="center"/>
          </w:tcPr>
          <w:p w14:paraId="0BD9FAA1">
            <w:pPr>
              <w:widowControl/>
              <w:spacing w:line="360" w:lineRule="atLeast"/>
              <w:jc w:val="center"/>
              <w:rPr>
                <w:rFonts w:hint="eastAsia" w:ascii="宋体" w:hAnsi="宋体" w:eastAsia="宋体" w:cs="宋体"/>
                <w:color w:val="auto"/>
                <w:kern w:val="0"/>
                <w:szCs w:val="21"/>
              </w:rPr>
            </w:pPr>
            <w:r>
              <w:rPr>
                <w:rFonts w:hint="eastAsia" w:ascii="宋体" w:hAnsi="宋体" w:eastAsia="宋体" w:cs="宋体"/>
                <w:b/>
                <w:bCs/>
                <w:color w:val="auto"/>
                <w:kern w:val="0"/>
                <w:szCs w:val="21"/>
              </w:rPr>
              <w:t>评审因素</w:t>
            </w:r>
          </w:p>
        </w:tc>
        <w:tc>
          <w:tcPr>
            <w:tcW w:w="5659" w:type="dxa"/>
            <w:vAlign w:val="center"/>
          </w:tcPr>
          <w:p w14:paraId="4470B540">
            <w:pPr>
              <w:widowControl/>
              <w:spacing w:line="360" w:lineRule="atLeast"/>
              <w:jc w:val="center"/>
              <w:rPr>
                <w:rFonts w:hint="eastAsia" w:ascii="宋体" w:hAnsi="宋体" w:eastAsia="宋体" w:cs="宋体"/>
                <w:color w:val="auto"/>
                <w:kern w:val="0"/>
                <w:szCs w:val="21"/>
              </w:rPr>
            </w:pPr>
            <w:r>
              <w:rPr>
                <w:rFonts w:hint="eastAsia" w:ascii="宋体" w:hAnsi="宋体" w:eastAsia="宋体" w:cs="宋体"/>
                <w:b/>
                <w:bCs/>
                <w:color w:val="auto"/>
                <w:kern w:val="0"/>
                <w:szCs w:val="21"/>
              </w:rPr>
              <w:t>评审标准</w:t>
            </w:r>
          </w:p>
        </w:tc>
      </w:tr>
      <w:tr w14:paraId="03880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restart"/>
            <w:vAlign w:val="center"/>
          </w:tcPr>
          <w:p w14:paraId="43339881">
            <w:pPr>
              <w:widowControl/>
              <w:adjustRightInd w:val="0"/>
              <w:snapToGrid w:val="0"/>
              <w:spacing w:line="360"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2.1.1</w:t>
            </w:r>
          </w:p>
        </w:tc>
        <w:tc>
          <w:tcPr>
            <w:tcW w:w="1064" w:type="dxa"/>
            <w:vMerge w:val="restart"/>
            <w:vAlign w:val="center"/>
          </w:tcPr>
          <w:p w14:paraId="2D6E5ACA">
            <w:pPr>
              <w:widowControl/>
              <w:adjustRightInd w:val="0"/>
              <w:snapToGrid w:val="0"/>
              <w:spacing w:line="360"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形式评审标准</w:t>
            </w:r>
          </w:p>
        </w:tc>
        <w:tc>
          <w:tcPr>
            <w:tcW w:w="1791" w:type="dxa"/>
            <w:gridSpan w:val="2"/>
            <w:tcMar>
              <w:left w:w="75" w:type="dxa"/>
            </w:tcMar>
            <w:vAlign w:val="center"/>
          </w:tcPr>
          <w:p w14:paraId="7D9DCD9F">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供应商名称</w:t>
            </w:r>
          </w:p>
        </w:tc>
        <w:tc>
          <w:tcPr>
            <w:tcW w:w="5659" w:type="dxa"/>
            <w:tcMar>
              <w:left w:w="75" w:type="dxa"/>
            </w:tcMar>
            <w:vAlign w:val="center"/>
          </w:tcPr>
          <w:p w14:paraId="29E64F97">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与营业执照、资质证书（如有）一致</w:t>
            </w:r>
          </w:p>
        </w:tc>
      </w:tr>
      <w:tr w14:paraId="16CF0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15688FBA">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675E7F4D">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2F4697AC">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响应文件格式</w:t>
            </w:r>
          </w:p>
        </w:tc>
        <w:tc>
          <w:tcPr>
            <w:tcW w:w="5659" w:type="dxa"/>
            <w:tcMar>
              <w:left w:w="75" w:type="dxa"/>
            </w:tcMar>
            <w:vAlign w:val="center"/>
          </w:tcPr>
          <w:p w14:paraId="42356E23">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符合第六章“响应文件格式”的规定，关键字迹清晰可辨</w:t>
            </w:r>
          </w:p>
        </w:tc>
      </w:tr>
      <w:tr w14:paraId="2F1A6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1F62DB4A">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2E835889">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7FE85183">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签名、盖章、装订</w:t>
            </w:r>
          </w:p>
        </w:tc>
        <w:tc>
          <w:tcPr>
            <w:tcW w:w="5659" w:type="dxa"/>
            <w:tcMar>
              <w:left w:w="75" w:type="dxa"/>
            </w:tcMar>
            <w:vAlign w:val="center"/>
          </w:tcPr>
          <w:p w14:paraId="0E8C1550">
            <w:pPr>
              <w:widowControl/>
              <w:adjustRightInd w:val="0"/>
              <w:snapToGrid w:val="0"/>
              <w:spacing w:line="360" w:lineRule="atLeast"/>
              <w:jc w:val="left"/>
              <w:rPr>
                <w:rFonts w:hint="eastAsia" w:ascii="宋体" w:hAnsi="宋体" w:eastAsia="宋体" w:cs="宋体"/>
                <w:bCs/>
                <w:color w:val="auto"/>
                <w:kern w:val="0"/>
                <w:szCs w:val="21"/>
              </w:rPr>
            </w:pPr>
            <w:r>
              <w:rPr>
                <w:rFonts w:hint="eastAsia" w:ascii="宋体" w:hAnsi="宋体" w:eastAsia="宋体" w:cs="宋体"/>
                <w:bCs/>
                <w:color w:val="auto"/>
                <w:kern w:val="0"/>
                <w:szCs w:val="21"/>
              </w:rPr>
              <w:t>符合第二章“供应商须知”规定</w:t>
            </w:r>
          </w:p>
        </w:tc>
      </w:tr>
      <w:tr w14:paraId="083D7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5FB17053">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00065780">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60CD0151">
            <w:pPr>
              <w:widowControl/>
              <w:adjustRightInd w:val="0"/>
              <w:snapToGrid w:val="0"/>
              <w:spacing w:line="360" w:lineRule="atLeast"/>
              <w:jc w:val="left"/>
              <w:rPr>
                <w:rFonts w:hint="default" w:ascii="宋体" w:hAnsi="宋体" w:eastAsia="宋体" w:cs="宋体"/>
                <w:color w:val="auto"/>
                <w:kern w:val="0"/>
                <w:szCs w:val="21"/>
                <w:highlight w:val="yellow"/>
                <w:lang w:val="en-US" w:eastAsia="zh-CN"/>
              </w:rPr>
            </w:pPr>
            <w:r>
              <w:rPr>
                <w:rFonts w:hint="eastAsia" w:ascii="宋体" w:hAnsi="宋体" w:eastAsia="宋体" w:cs="宋体"/>
                <w:color w:val="auto"/>
                <w:kern w:val="0"/>
                <w:szCs w:val="21"/>
                <w:highlight w:val="yellow"/>
                <w:lang w:val="en-US" w:eastAsia="zh-CN"/>
              </w:rPr>
              <w:t>电子版响应文件</w:t>
            </w:r>
          </w:p>
        </w:tc>
        <w:tc>
          <w:tcPr>
            <w:tcW w:w="5659" w:type="dxa"/>
            <w:tcMar>
              <w:left w:w="75" w:type="dxa"/>
            </w:tcMar>
            <w:vAlign w:val="center"/>
          </w:tcPr>
          <w:p w14:paraId="173F75FB">
            <w:pPr>
              <w:widowControl/>
              <w:adjustRightInd w:val="0"/>
              <w:snapToGrid w:val="0"/>
              <w:spacing w:line="360" w:lineRule="atLeast"/>
              <w:jc w:val="left"/>
              <w:rPr>
                <w:rFonts w:hint="default" w:ascii="宋体" w:hAnsi="宋体" w:eastAsia="宋体" w:cs="宋体"/>
                <w:bCs/>
                <w:color w:val="auto"/>
                <w:kern w:val="0"/>
                <w:szCs w:val="21"/>
                <w:highlight w:val="yellow"/>
                <w:lang w:val="en-US" w:eastAsia="zh-CN"/>
              </w:rPr>
            </w:pPr>
            <w:r>
              <w:rPr>
                <w:rFonts w:hint="eastAsia" w:ascii="宋体" w:hAnsi="宋体" w:eastAsia="宋体" w:cs="宋体"/>
                <w:bCs/>
                <w:color w:val="auto"/>
                <w:kern w:val="0"/>
                <w:szCs w:val="21"/>
                <w:highlight w:val="yellow"/>
              </w:rPr>
              <w:t>放置盖章版的响应文件扫描件（PDF版本）</w:t>
            </w:r>
            <w:r>
              <w:rPr>
                <w:rFonts w:hint="eastAsia" w:ascii="宋体" w:hAnsi="宋体" w:eastAsia="宋体" w:cs="宋体"/>
                <w:bCs/>
                <w:color w:val="auto"/>
                <w:kern w:val="0"/>
                <w:szCs w:val="21"/>
                <w:highlight w:val="yellow"/>
                <w:lang w:eastAsia="zh-CN"/>
              </w:rPr>
              <w:t>、</w:t>
            </w:r>
            <w:r>
              <w:rPr>
                <w:rFonts w:hint="eastAsia" w:ascii="宋体" w:hAnsi="宋体" w:eastAsia="宋体" w:cs="宋体"/>
                <w:bCs/>
                <w:color w:val="auto"/>
                <w:kern w:val="0"/>
                <w:szCs w:val="21"/>
                <w:highlight w:val="yellow"/>
                <w:lang w:val="en-US" w:eastAsia="zh-CN"/>
              </w:rPr>
              <w:t>放置电子版报价清单（EXCEL版）</w:t>
            </w:r>
          </w:p>
        </w:tc>
      </w:tr>
      <w:tr w14:paraId="3BD63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34D07940">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3B4532FD">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68C1E0EF">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响应文件格式</w:t>
            </w:r>
          </w:p>
        </w:tc>
        <w:tc>
          <w:tcPr>
            <w:tcW w:w="5659" w:type="dxa"/>
            <w:tcMar>
              <w:left w:w="75" w:type="dxa"/>
            </w:tcMar>
            <w:vAlign w:val="center"/>
          </w:tcPr>
          <w:p w14:paraId="70DF2689">
            <w:pPr>
              <w:widowControl/>
              <w:adjustRightInd w:val="0"/>
              <w:snapToGrid w:val="0"/>
              <w:spacing w:line="360" w:lineRule="atLeast"/>
              <w:jc w:val="left"/>
              <w:rPr>
                <w:rFonts w:hint="eastAsia" w:ascii="宋体" w:hAnsi="宋体" w:eastAsia="宋体" w:cs="宋体"/>
                <w:bCs/>
                <w:color w:val="auto"/>
                <w:kern w:val="0"/>
                <w:szCs w:val="21"/>
              </w:rPr>
            </w:pPr>
            <w:r>
              <w:rPr>
                <w:rFonts w:hint="eastAsia" w:ascii="宋体" w:hAnsi="宋体" w:eastAsia="宋体" w:cs="宋体"/>
                <w:bCs/>
                <w:color w:val="auto"/>
                <w:kern w:val="0"/>
                <w:szCs w:val="21"/>
              </w:rPr>
              <w:t>符合第六章响应文件格式的规定</w:t>
            </w:r>
          </w:p>
        </w:tc>
      </w:tr>
      <w:tr w14:paraId="54001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Align w:val="center"/>
          </w:tcPr>
          <w:p w14:paraId="24FB4DD4">
            <w:pPr>
              <w:widowControl/>
              <w:adjustRightInd w:val="0"/>
              <w:snapToGrid w:val="0"/>
              <w:spacing w:line="360"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2.1.2</w:t>
            </w:r>
          </w:p>
        </w:tc>
        <w:tc>
          <w:tcPr>
            <w:tcW w:w="1064" w:type="dxa"/>
            <w:vAlign w:val="center"/>
          </w:tcPr>
          <w:p w14:paraId="57E58C17">
            <w:pPr>
              <w:widowControl/>
              <w:adjustRightInd w:val="0"/>
              <w:snapToGrid w:val="0"/>
              <w:spacing w:line="360"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资格评审标准</w:t>
            </w:r>
          </w:p>
        </w:tc>
        <w:tc>
          <w:tcPr>
            <w:tcW w:w="1791" w:type="dxa"/>
            <w:gridSpan w:val="2"/>
            <w:tcMar>
              <w:left w:w="75" w:type="dxa"/>
            </w:tcMar>
            <w:vAlign w:val="center"/>
          </w:tcPr>
          <w:p w14:paraId="1C3C3289">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资质条件、能力、信誉</w:t>
            </w:r>
          </w:p>
        </w:tc>
        <w:tc>
          <w:tcPr>
            <w:tcW w:w="5659" w:type="dxa"/>
            <w:tcMar>
              <w:left w:w="75" w:type="dxa"/>
            </w:tcMar>
            <w:vAlign w:val="center"/>
          </w:tcPr>
          <w:p w14:paraId="4C6B85FD">
            <w:pPr>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符合第二章“供应商须知”规定</w:t>
            </w:r>
          </w:p>
        </w:tc>
      </w:tr>
      <w:tr w14:paraId="4CBA1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restart"/>
            <w:vAlign w:val="center"/>
          </w:tcPr>
          <w:p w14:paraId="231A5090">
            <w:pPr>
              <w:widowControl/>
              <w:adjustRightInd w:val="0"/>
              <w:snapToGrid w:val="0"/>
              <w:spacing w:line="360"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2.1.3</w:t>
            </w:r>
          </w:p>
        </w:tc>
        <w:tc>
          <w:tcPr>
            <w:tcW w:w="1064" w:type="dxa"/>
            <w:vMerge w:val="restart"/>
            <w:vAlign w:val="center"/>
          </w:tcPr>
          <w:p w14:paraId="43915671">
            <w:pPr>
              <w:widowControl/>
              <w:adjustRightInd w:val="0"/>
              <w:snapToGrid w:val="0"/>
              <w:spacing w:line="360"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响应性评审标准</w:t>
            </w:r>
          </w:p>
        </w:tc>
        <w:tc>
          <w:tcPr>
            <w:tcW w:w="1791" w:type="dxa"/>
            <w:gridSpan w:val="2"/>
            <w:tcMar>
              <w:left w:w="75" w:type="dxa"/>
            </w:tcMar>
            <w:vAlign w:val="center"/>
          </w:tcPr>
          <w:p w14:paraId="39ADF462">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lang w:val="en-US" w:eastAsia="zh-CN"/>
              </w:rPr>
              <w:t>采购</w:t>
            </w:r>
            <w:r>
              <w:rPr>
                <w:rFonts w:hint="eastAsia" w:ascii="宋体" w:hAnsi="宋体" w:eastAsia="宋体" w:cs="宋体"/>
                <w:color w:val="auto"/>
                <w:kern w:val="0"/>
                <w:szCs w:val="21"/>
              </w:rPr>
              <w:t>内容</w:t>
            </w:r>
          </w:p>
        </w:tc>
        <w:tc>
          <w:tcPr>
            <w:tcW w:w="5659" w:type="dxa"/>
            <w:tcMar>
              <w:left w:w="75" w:type="dxa"/>
            </w:tcMar>
            <w:vAlign w:val="center"/>
          </w:tcPr>
          <w:p w14:paraId="61852A71">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szCs w:val="21"/>
              </w:rPr>
              <w:t>符合第一章“采购公告”规定</w:t>
            </w:r>
          </w:p>
        </w:tc>
      </w:tr>
      <w:tr w14:paraId="53374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1B401BF9">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057DDEB3">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48D53831">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交货期</w:t>
            </w:r>
          </w:p>
        </w:tc>
        <w:tc>
          <w:tcPr>
            <w:tcW w:w="5659" w:type="dxa"/>
            <w:tcMar>
              <w:left w:w="75" w:type="dxa"/>
            </w:tcMar>
            <w:vAlign w:val="center"/>
          </w:tcPr>
          <w:p w14:paraId="36D98E5C">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szCs w:val="21"/>
              </w:rPr>
              <w:t>符合第一章“采购公告”规定</w:t>
            </w:r>
          </w:p>
        </w:tc>
      </w:tr>
      <w:tr w14:paraId="43360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09EFC1C1">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4DE8C894">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7663A9D5">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质量要求</w:t>
            </w:r>
          </w:p>
        </w:tc>
        <w:tc>
          <w:tcPr>
            <w:tcW w:w="5659" w:type="dxa"/>
            <w:tcMar>
              <w:left w:w="75" w:type="dxa"/>
            </w:tcMar>
            <w:vAlign w:val="center"/>
          </w:tcPr>
          <w:p w14:paraId="687748F0">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符合第二章“供应商须知”规定</w:t>
            </w:r>
          </w:p>
        </w:tc>
      </w:tr>
      <w:tr w14:paraId="287DA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0A2081E4">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1C23ABB9">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1F7F8BE9">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响应有效期</w:t>
            </w:r>
          </w:p>
        </w:tc>
        <w:tc>
          <w:tcPr>
            <w:tcW w:w="5659" w:type="dxa"/>
            <w:tcMar>
              <w:left w:w="75" w:type="dxa"/>
            </w:tcMar>
            <w:vAlign w:val="center"/>
          </w:tcPr>
          <w:p w14:paraId="7B2729DB">
            <w:pPr>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符合第二章“供应商须知”规定</w:t>
            </w:r>
          </w:p>
        </w:tc>
      </w:tr>
      <w:tr w14:paraId="67C05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77ED9EA0">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71EB47AC">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6A2992E2">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响应保证金</w:t>
            </w:r>
          </w:p>
        </w:tc>
        <w:tc>
          <w:tcPr>
            <w:tcW w:w="5659" w:type="dxa"/>
            <w:tcMar>
              <w:left w:w="75" w:type="dxa"/>
            </w:tcMar>
            <w:vAlign w:val="center"/>
          </w:tcPr>
          <w:p w14:paraId="57F4DC9D">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szCs w:val="21"/>
              </w:rPr>
              <w:t>符合第一章“采购公告”规定</w:t>
            </w:r>
          </w:p>
        </w:tc>
      </w:tr>
      <w:tr w14:paraId="175E0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59EA012C">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013BD57F">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Borders>
              <w:top w:val="single" w:color="auto" w:sz="4" w:space="0"/>
              <w:left w:val="single" w:color="auto" w:sz="4" w:space="0"/>
              <w:right w:val="single" w:color="auto" w:sz="4" w:space="0"/>
            </w:tcBorders>
            <w:tcMar>
              <w:left w:w="75" w:type="dxa"/>
            </w:tcMar>
            <w:vAlign w:val="center"/>
          </w:tcPr>
          <w:p w14:paraId="6F7A1AD0">
            <w:pPr>
              <w:widowControl/>
              <w:adjustRightInd w:val="0"/>
              <w:snapToGrid w:val="0"/>
              <w:spacing w:line="360" w:lineRule="atLeast"/>
              <w:jc w:val="left"/>
              <w:rPr>
                <w:rFonts w:hint="eastAsia" w:ascii="宋体" w:hAnsi="宋体" w:eastAsia="宋体" w:cs="宋体"/>
                <w:bCs/>
                <w:color w:val="auto"/>
                <w:kern w:val="0"/>
                <w:szCs w:val="21"/>
              </w:rPr>
            </w:pPr>
            <w:r>
              <w:rPr>
                <w:rFonts w:hint="eastAsia" w:ascii="宋体" w:hAnsi="宋体" w:eastAsia="宋体" w:cs="宋体"/>
                <w:bCs/>
                <w:color w:val="auto"/>
                <w:kern w:val="0"/>
                <w:szCs w:val="21"/>
              </w:rPr>
              <w:t>联合体</w:t>
            </w:r>
          </w:p>
        </w:tc>
        <w:tc>
          <w:tcPr>
            <w:tcW w:w="5659" w:type="dxa"/>
            <w:tcBorders>
              <w:top w:val="outset" w:color="auto" w:sz="6" w:space="0"/>
              <w:left w:val="single" w:color="auto" w:sz="4" w:space="0"/>
              <w:right w:val="outset" w:color="auto" w:sz="6" w:space="0"/>
            </w:tcBorders>
            <w:tcMar>
              <w:left w:w="75" w:type="dxa"/>
            </w:tcMar>
            <w:vAlign w:val="center"/>
          </w:tcPr>
          <w:p w14:paraId="3A6387D0">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未以联合体形式报价</w:t>
            </w:r>
          </w:p>
        </w:tc>
      </w:tr>
      <w:tr w14:paraId="25550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0DE499E3">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15F0582F">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Borders>
              <w:top w:val="single" w:color="auto" w:sz="4" w:space="0"/>
              <w:left w:val="single" w:color="auto" w:sz="4" w:space="0"/>
              <w:right w:val="single" w:color="auto" w:sz="4" w:space="0"/>
            </w:tcBorders>
            <w:tcMar>
              <w:left w:w="75" w:type="dxa"/>
            </w:tcMar>
            <w:vAlign w:val="center"/>
          </w:tcPr>
          <w:p w14:paraId="4073B7D3">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bCs/>
                <w:color w:val="auto"/>
                <w:kern w:val="0"/>
                <w:szCs w:val="21"/>
              </w:rPr>
              <w:t>分包</w:t>
            </w:r>
          </w:p>
        </w:tc>
        <w:tc>
          <w:tcPr>
            <w:tcW w:w="5659" w:type="dxa"/>
            <w:tcBorders>
              <w:top w:val="outset" w:color="auto" w:sz="6" w:space="0"/>
              <w:left w:val="single" w:color="auto" w:sz="4" w:space="0"/>
              <w:right w:val="outset" w:color="auto" w:sz="6" w:space="0"/>
            </w:tcBorders>
            <w:tcMar>
              <w:left w:w="75" w:type="dxa"/>
            </w:tcMar>
            <w:vAlign w:val="center"/>
          </w:tcPr>
          <w:p w14:paraId="325FEEB2">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没有分包</w:t>
            </w:r>
          </w:p>
        </w:tc>
      </w:tr>
      <w:tr w14:paraId="72188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495647CD">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0E0D6016">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Borders>
              <w:top w:val="single" w:color="auto" w:sz="4" w:space="0"/>
              <w:left w:val="single" w:color="auto" w:sz="4" w:space="0"/>
              <w:right w:val="single" w:color="auto" w:sz="4" w:space="0"/>
            </w:tcBorders>
            <w:tcMar>
              <w:left w:w="75" w:type="dxa"/>
            </w:tcMar>
            <w:vAlign w:val="center"/>
          </w:tcPr>
          <w:p w14:paraId="322BF2F3">
            <w:pPr>
              <w:widowControl/>
              <w:adjustRightInd w:val="0"/>
              <w:snapToGrid w:val="0"/>
              <w:spacing w:line="360" w:lineRule="atLeast"/>
              <w:jc w:val="left"/>
              <w:rPr>
                <w:rFonts w:hint="eastAsia" w:ascii="宋体" w:hAnsi="宋体" w:eastAsia="宋体" w:cs="宋体"/>
                <w:bCs/>
                <w:color w:val="auto"/>
                <w:kern w:val="0"/>
                <w:szCs w:val="21"/>
              </w:rPr>
            </w:pPr>
            <w:r>
              <w:rPr>
                <w:rFonts w:hint="eastAsia" w:ascii="宋体" w:hAnsi="宋体" w:eastAsia="宋体" w:cs="宋体"/>
                <w:color w:val="auto"/>
                <w:kern w:val="0"/>
                <w:szCs w:val="21"/>
              </w:rPr>
              <w:t>报价</w:t>
            </w:r>
          </w:p>
        </w:tc>
        <w:tc>
          <w:tcPr>
            <w:tcW w:w="5659" w:type="dxa"/>
            <w:tcBorders>
              <w:top w:val="outset" w:color="auto" w:sz="6" w:space="0"/>
              <w:left w:val="single" w:color="auto" w:sz="4" w:space="0"/>
              <w:right w:val="outset" w:color="auto" w:sz="6" w:space="0"/>
            </w:tcBorders>
            <w:tcMar>
              <w:left w:w="75" w:type="dxa"/>
            </w:tcMar>
            <w:vAlign w:val="center"/>
          </w:tcPr>
          <w:p w14:paraId="5B142EA4">
            <w:pPr>
              <w:widowControl/>
              <w:adjustRightInd w:val="0"/>
              <w:snapToGrid w:val="0"/>
              <w:spacing w:line="360" w:lineRule="atLeast"/>
              <w:jc w:val="left"/>
              <w:rPr>
                <w:rFonts w:hint="eastAsia" w:ascii="宋体" w:hAnsi="宋体" w:eastAsia="宋体" w:cs="宋体"/>
                <w:color w:val="auto"/>
                <w:szCs w:val="21"/>
              </w:rPr>
            </w:pPr>
            <w:r>
              <w:rPr>
                <w:rFonts w:hint="eastAsia" w:ascii="宋体" w:hAnsi="宋体" w:eastAsia="宋体" w:cs="宋体"/>
                <w:color w:val="auto"/>
                <w:szCs w:val="21"/>
              </w:rPr>
              <w:t>（1）报价未超过询比文件设定的最高限价。</w:t>
            </w:r>
          </w:p>
          <w:p w14:paraId="304E25AB">
            <w:pPr>
              <w:widowControl/>
              <w:adjustRightInd w:val="0"/>
              <w:snapToGrid w:val="0"/>
              <w:spacing w:line="360" w:lineRule="atLeast"/>
              <w:jc w:val="left"/>
              <w:rPr>
                <w:rFonts w:hint="eastAsia" w:ascii="宋体" w:hAnsi="宋体" w:eastAsia="宋体" w:cs="宋体"/>
                <w:color w:val="auto"/>
                <w:szCs w:val="21"/>
              </w:rPr>
            </w:pPr>
            <w:r>
              <w:rPr>
                <w:rFonts w:hint="eastAsia" w:ascii="宋体" w:hAnsi="宋体" w:eastAsia="宋体" w:cs="宋体"/>
                <w:color w:val="auto"/>
                <w:szCs w:val="21"/>
              </w:rPr>
              <w:t>（2）已标价的报价清单总报价和报价函的报价一致（四舍五入除外）。</w:t>
            </w:r>
          </w:p>
          <w:p w14:paraId="4107CDAA">
            <w:pPr>
              <w:widowControl/>
              <w:adjustRightInd w:val="0"/>
              <w:snapToGrid w:val="0"/>
              <w:spacing w:line="360" w:lineRule="atLeast"/>
              <w:jc w:val="left"/>
              <w:rPr>
                <w:rFonts w:hint="eastAsia" w:ascii="宋体" w:hAnsi="宋体" w:eastAsia="宋体" w:cs="宋体"/>
                <w:color w:val="auto"/>
                <w:szCs w:val="21"/>
              </w:rPr>
            </w:pPr>
            <w:r>
              <w:rPr>
                <w:rFonts w:hint="eastAsia" w:ascii="宋体" w:hAnsi="宋体" w:eastAsia="宋体" w:cs="宋体"/>
                <w:color w:val="auto"/>
                <w:szCs w:val="21"/>
              </w:rPr>
              <w:t>（3）报价的大写数值能确定具体数值，未出现数量级错误、报价金额单位错误。</w:t>
            </w:r>
          </w:p>
          <w:p w14:paraId="6369C39B">
            <w:pPr>
              <w:widowControl/>
              <w:adjustRightInd w:val="0"/>
              <w:snapToGrid w:val="0"/>
              <w:spacing w:line="360" w:lineRule="atLeast"/>
              <w:jc w:val="left"/>
              <w:rPr>
                <w:rFonts w:hint="eastAsia" w:ascii="宋体" w:hAnsi="宋体" w:eastAsia="宋体" w:cs="宋体"/>
                <w:color w:val="auto"/>
                <w:szCs w:val="21"/>
              </w:rPr>
            </w:pPr>
            <w:r>
              <w:rPr>
                <w:rFonts w:hint="eastAsia" w:ascii="宋体" w:hAnsi="宋体" w:eastAsia="宋体" w:cs="宋体"/>
                <w:color w:val="auto"/>
                <w:szCs w:val="21"/>
              </w:rPr>
              <w:t>（4）同一供应商未递交两个以上不同的报价。</w:t>
            </w:r>
          </w:p>
          <w:p w14:paraId="6B81EAC5">
            <w:pPr>
              <w:widowControl/>
              <w:adjustRightInd w:val="0"/>
              <w:snapToGrid w:val="0"/>
              <w:spacing w:line="360" w:lineRule="atLeast"/>
              <w:jc w:val="left"/>
              <w:rPr>
                <w:rFonts w:hint="eastAsia" w:ascii="宋体" w:hAnsi="宋体" w:eastAsia="宋体" w:cs="宋体"/>
                <w:color w:val="auto"/>
                <w:szCs w:val="21"/>
              </w:rPr>
            </w:pPr>
            <w:r>
              <w:rPr>
                <w:rFonts w:hint="eastAsia" w:ascii="宋体" w:hAnsi="宋体" w:eastAsia="宋体" w:cs="宋体"/>
                <w:color w:val="auto"/>
                <w:szCs w:val="21"/>
              </w:rPr>
              <w:t>（5）供应商按采购人提供的书面报价清单填写了报价，且未修改报价清单说明、数量等实质性内容。</w:t>
            </w:r>
          </w:p>
        </w:tc>
      </w:tr>
      <w:tr w14:paraId="4FD54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316B2A55">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7743D245">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7FE6A7A2">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其他实质性要求</w:t>
            </w:r>
          </w:p>
        </w:tc>
        <w:tc>
          <w:tcPr>
            <w:tcW w:w="5659" w:type="dxa"/>
            <w:tcMar>
              <w:left w:w="75" w:type="dxa"/>
            </w:tcMar>
            <w:vAlign w:val="center"/>
          </w:tcPr>
          <w:p w14:paraId="4EB9FABF">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符合询比文件的其他实质性要求和条件。</w:t>
            </w:r>
          </w:p>
        </w:tc>
      </w:tr>
      <w:tr w14:paraId="3B4EA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9198" w:type="dxa"/>
            <w:gridSpan w:val="5"/>
            <w:vAlign w:val="center"/>
          </w:tcPr>
          <w:p w14:paraId="43E4CB0E">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b/>
                <w:bCs/>
                <w:color w:val="auto"/>
                <w:szCs w:val="21"/>
              </w:rPr>
              <w:t>响应文件不符合以上条件之一的，对该响应文件作否决其响应处理。</w:t>
            </w:r>
          </w:p>
        </w:tc>
      </w:tr>
    </w:tbl>
    <w:p w14:paraId="53747522">
      <w:pPr>
        <w:widowControl/>
        <w:spacing w:line="360" w:lineRule="atLeast"/>
        <w:jc w:val="center"/>
        <w:rPr>
          <w:rFonts w:ascii="Times New Roman" w:hAnsi="Times New Roman" w:cs="Times New Roman"/>
          <w:color w:val="auto"/>
        </w:rPr>
      </w:pPr>
    </w:p>
    <w:p w14:paraId="121D7049">
      <w:pPr>
        <w:keepNext/>
        <w:keepLines/>
        <w:spacing w:line="400" w:lineRule="exact"/>
        <w:rPr>
          <w:color w:val="auto"/>
        </w:rPr>
      </w:pPr>
      <w:r>
        <w:rPr>
          <w:rFonts w:hint="eastAsia" w:ascii="宋体" w:hAnsi="宋体" w:eastAsia="宋体" w:cs="宋体"/>
          <w:b/>
          <w:bCs/>
          <w:color w:val="auto"/>
          <w:kern w:val="0"/>
          <w:sz w:val="28"/>
          <w:szCs w:val="28"/>
        </w:rPr>
        <w:t>前附表</w:t>
      </w:r>
      <w:r>
        <w:rPr>
          <w:rFonts w:hint="eastAsia" w:ascii="宋体" w:hAnsi="宋体" w:eastAsia="宋体" w:cs="宋体"/>
          <w:b/>
          <w:bCs/>
          <w:color w:val="auto"/>
          <w:kern w:val="0"/>
          <w:sz w:val="28"/>
          <w:szCs w:val="28"/>
          <w:lang w:val="en-US" w:eastAsia="zh-CN"/>
        </w:rPr>
        <w:t>B</w:t>
      </w:r>
    </w:p>
    <w:tbl>
      <w:tblPr>
        <w:tblStyle w:val="20"/>
        <w:tblW w:w="9331"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2"/>
        <w:gridCol w:w="1605"/>
        <w:gridCol w:w="1365"/>
        <w:gridCol w:w="5299"/>
      </w:tblGrid>
      <w:tr w14:paraId="6DB1627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667" w:type="dxa"/>
            <w:gridSpan w:val="2"/>
            <w:tcBorders>
              <w:top w:val="single" w:color="auto" w:sz="4" w:space="0"/>
              <w:bottom w:val="single" w:color="auto" w:sz="4" w:space="0"/>
              <w:right w:val="single" w:color="auto" w:sz="4" w:space="0"/>
            </w:tcBorders>
            <w:vAlign w:val="center"/>
          </w:tcPr>
          <w:p w14:paraId="67BA606F">
            <w:pPr>
              <w:spacing w:line="360" w:lineRule="atLeast"/>
              <w:jc w:val="center"/>
              <w:rPr>
                <w:rFonts w:ascii="Times New Roman" w:hAnsi="Times New Roman" w:cs="Times New Roman"/>
                <w:b/>
                <w:color w:val="auto"/>
                <w:szCs w:val="21"/>
              </w:rPr>
            </w:pPr>
            <w:r>
              <w:rPr>
                <w:rFonts w:ascii="Times New Roman" w:hAnsi="Times New Roman" w:cs="Times New Roman"/>
                <w:b/>
                <w:color w:val="auto"/>
                <w:szCs w:val="21"/>
              </w:rPr>
              <w:t>条款号</w:t>
            </w:r>
          </w:p>
        </w:tc>
        <w:tc>
          <w:tcPr>
            <w:tcW w:w="1365" w:type="dxa"/>
            <w:tcBorders>
              <w:top w:val="single" w:color="auto" w:sz="4" w:space="0"/>
              <w:left w:val="single" w:color="auto" w:sz="4" w:space="0"/>
              <w:bottom w:val="single" w:color="auto" w:sz="4" w:space="0"/>
              <w:right w:val="single" w:color="auto" w:sz="4" w:space="0"/>
            </w:tcBorders>
            <w:vAlign w:val="center"/>
          </w:tcPr>
          <w:p w14:paraId="741275C9">
            <w:pPr>
              <w:spacing w:line="360" w:lineRule="atLeast"/>
              <w:jc w:val="center"/>
              <w:rPr>
                <w:rFonts w:ascii="Times New Roman" w:hAnsi="Times New Roman" w:cs="Times New Roman"/>
                <w:b/>
                <w:color w:val="auto"/>
                <w:szCs w:val="21"/>
              </w:rPr>
            </w:pPr>
            <w:r>
              <w:rPr>
                <w:rFonts w:ascii="Times New Roman" w:hAnsi="Times New Roman" w:cs="Times New Roman"/>
                <w:b/>
                <w:color w:val="auto"/>
                <w:szCs w:val="21"/>
              </w:rPr>
              <w:t>量化因素</w:t>
            </w:r>
          </w:p>
        </w:tc>
        <w:tc>
          <w:tcPr>
            <w:tcW w:w="5299" w:type="dxa"/>
            <w:tcBorders>
              <w:top w:val="single" w:color="auto" w:sz="4" w:space="0"/>
              <w:left w:val="single" w:color="auto" w:sz="4" w:space="0"/>
              <w:bottom w:val="single" w:color="auto" w:sz="4" w:space="0"/>
              <w:right w:val="single" w:color="auto" w:sz="4" w:space="0"/>
            </w:tcBorders>
            <w:vAlign w:val="center"/>
          </w:tcPr>
          <w:p w14:paraId="033D9CB4">
            <w:pPr>
              <w:spacing w:line="360" w:lineRule="atLeast"/>
              <w:jc w:val="center"/>
              <w:rPr>
                <w:rFonts w:ascii="Times New Roman" w:hAnsi="Times New Roman" w:cs="Times New Roman"/>
                <w:b/>
                <w:color w:val="auto"/>
                <w:szCs w:val="21"/>
              </w:rPr>
            </w:pPr>
            <w:r>
              <w:rPr>
                <w:rFonts w:ascii="Times New Roman" w:hAnsi="Times New Roman" w:cs="Times New Roman"/>
                <w:b/>
                <w:color w:val="auto"/>
                <w:szCs w:val="21"/>
              </w:rPr>
              <w:t>量化标准</w:t>
            </w:r>
          </w:p>
        </w:tc>
      </w:tr>
      <w:tr w14:paraId="17A435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062" w:type="dxa"/>
            <w:tcBorders>
              <w:top w:val="single" w:color="auto" w:sz="4" w:space="0"/>
              <w:bottom w:val="single" w:color="auto" w:sz="4" w:space="0"/>
              <w:right w:val="single" w:color="auto" w:sz="4" w:space="0"/>
            </w:tcBorders>
            <w:vAlign w:val="center"/>
          </w:tcPr>
          <w:p w14:paraId="491AFDC5">
            <w:pPr>
              <w:spacing w:line="360" w:lineRule="atLeast"/>
              <w:jc w:val="center"/>
              <w:rPr>
                <w:rFonts w:hint="default" w:ascii="Times New Roman" w:hAnsi="Times New Roman" w:cs="Times New Roman" w:eastAsiaTheme="minorEastAsia"/>
                <w:b/>
                <w:color w:val="auto"/>
                <w:szCs w:val="21"/>
                <w:lang w:val="en-US" w:eastAsia="zh-CN"/>
              </w:rPr>
            </w:pPr>
            <w:r>
              <w:rPr>
                <w:rFonts w:hint="eastAsia" w:ascii="Times New Roman" w:hAnsi="Times New Roman" w:cs="Times New Roman"/>
                <w:color w:val="auto"/>
                <w:szCs w:val="21"/>
                <w:lang w:val="en-US" w:eastAsia="zh-CN"/>
              </w:rPr>
              <w:t>3.1</w:t>
            </w:r>
          </w:p>
        </w:tc>
        <w:tc>
          <w:tcPr>
            <w:tcW w:w="1605" w:type="dxa"/>
            <w:tcBorders>
              <w:top w:val="single" w:color="auto" w:sz="4" w:space="0"/>
              <w:bottom w:val="single" w:color="auto" w:sz="4" w:space="0"/>
              <w:right w:val="single" w:color="auto" w:sz="4" w:space="0"/>
            </w:tcBorders>
            <w:vAlign w:val="center"/>
          </w:tcPr>
          <w:p w14:paraId="2B864243">
            <w:pPr>
              <w:spacing w:line="360" w:lineRule="atLeast"/>
              <w:jc w:val="center"/>
              <w:rPr>
                <w:rFonts w:ascii="Times New Roman" w:hAnsi="Times New Roman" w:cs="Times New Roman"/>
                <w:color w:val="auto"/>
                <w:szCs w:val="21"/>
              </w:rPr>
            </w:pPr>
            <w:r>
              <w:rPr>
                <w:rFonts w:ascii="Times New Roman" w:hAnsi="Times New Roman" w:cs="Times New Roman"/>
                <w:color w:val="auto"/>
                <w:szCs w:val="21"/>
              </w:rPr>
              <w:t>详细评审标准</w:t>
            </w:r>
          </w:p>
        </w:tc>
        <w:tc>
          <w:tcPr>
            <w:tcW w:w="1365" w:type="dxa"/>
            <w:tcBorders>
              <w:top w:val="single" w:color="auto" w:sz="4" w:space="0"/>
              <w:left w:val="single" w:color="auto" w:sz="4" w:space="0"/>
              <w:bottom w:val="single" w:color="auto" w:sz="4" w:space="0"/>
              <w:right w:val="single" w:color="auto" w:sz="4" w:space="0"/>
            </w:tcBorders>
            <w:vAlign w:val="center"/>
          </w:tcPr>
          <w:p w14:paraId="58A8DA0E">
            <w:pPr>
              <w:spacing w:line="360" w:lineRule="atLeast"/>
              <w:jc w:val="center"/>
              <w:rPr>
                <w:rFonts w:ascii="Times New Roman" w:hAnsi="Times New Roman" w:cs="Times New Roman"/>
                <w:color w:val="auto"/>
                <w:szCs w:val="21"/>
              </w:rPr>
            </w:pPr>
            <w:r>
              <w:rPr>
                <w:rFonts w:ascii="Times New Roman" w:hAnsi="Times New Roman" w:cs="Times New Roman"/>
                <w:color w:val="auto"/>
                <w:szCs w:val="21"/>
              </w:rPr>
              <w:t>评审价计算</w:t>
            </w:r>
          </w:p>
        </w:tc>
        <w:tc>
          <w:tcPr>
            <w:tcW w:w="5299" w:type="dxa"/>
            <w:tcBorders>
              <w:top w:val="single" w:color="auto" w:sz="4" w:space="0"/>
              <w:left w:val="single" w:color="auto" w:sz="4" w:space="0"/>
              <w:bottom w:val="single" w:color="auto" w:sz="4" w:space="0"/>
              <w:right w:val="single" w:color="auto" w:sz="4" w:space="0"/>
            </w:tcBorders>
          </w:tcPr>
          <w:p w14:paraId="60C2437E">
            <w:pPr>
              <w:spacing w:line="360" w:lineRule="auto"/>
              <w:rPr>
                <w:rFonts w:ascii="Times New Roman" w:hAnsi="Times New Roman" w:eastAsia="仿宋_GB2312" w:cs="Times New Roman"/>
                <w:color w:val="auto"/>
                <w:sz w:val="32"/>
                <w:szCs w:val="32"/>
              </w:rPr>
            </w:pPr>
            <w:r>
              <w:rPr>
                <w:rFonts w:ascii="Times New Roman" w:hAnsi="Times New Roman" w:cs="Times New Roman"/>
                <w:color w:val="auto"/>
                <w:kern w:val="0"/>
                <w:szCs w:val="21"/>
              </w:rPr>
              <w:t>评审价＝</w:t>
            </w:r>
            <w:r>
              <w:rPr>
                <w:rFonts w:hint="eastAsia" w:ascii="Times New Roman" w:hAnsi="Times New Roman" w:cs="Times New Roman"/>
                <w:color w:val="auto"/>
                <w:kern w:val="0"/>
                <w:szCs w:val="21"/>
              </w:rPr>
              <w:t>修正后的报价</w:t>
            </w:r>
          </w:p>
        </w:tc>
      </w:tr>
      <w:tr w14:paraId="3FBDF0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331" w:type="dxa"/>
            <w:gridSpan w:val="4"/>
            <w:tcBorders>
              <w:top w:val="single" w:color="auto" w:sz="4" w:space="0"/>
              <w:bottom w:val="single" w:color="auto" w:sz="4" w:space="0"/>
              <w:right w:val="single" w:color="auto" w:sz="4" w:space="0"/>
            </w:tcBorders>
            <w:vAlign w:val="center"/>
          </w:tcPr>
          <w:p w14:paraId="11924759">
            <w:pPr>
              <w:spacing w:line="360" w:lineRule="atLeast"/>
              <w:rPr>
                <w:rFonts w:ascii="Times New Roman" w:hAnsi="Times New Roman" w:cs="Times New Roman"/>
                <w:color w:val="auto"/>
                <w:szCs w:val="21"/>
              </w:rPr>
            </w:pPr>
            <w:r>
              <w:rPr>
                <w:rFonts w:ascii="Times New Roman" w:hAnsi="Times New Roman" w:cs="Times New Roman"/>
                <w:color w:val="auto"/>
                <w:szCs w:val="21"/>
              </w:rPr>
              <w:t>需要补充的其他内容：</w:t>
            </w:r>
          </w:p>
          <w:p w14:paraId="33C7EEF5">
            <w:pPr>
              <w:spacing w:before="50" w:after="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一、合作单位的选择及成交原则</w:t>
            </w:r>
          </w:p>
          <w:p w14:paraId="18270DBD">
            <w:pPr>
              <w:spacing w:before="50" w:after="50" w:line="24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1、本次采购活动将采用</w:t>
            </w:r>
            <w:r>
              <w:rPr>
                <w:rFonts w:hint="eastAsia" w:ascii="宋体" w:hAnsi="宋体" w:eastAsia="宋体" w:cs="宋体"/>
                <w:b/>
                <w:bCs/>
                <w:color w:val="auto"/>
                <w:szCs w:val="21"/>
              </w:rPr>
              <w:t>最低价法</w:t>
            </w:r>
            <w:r>
              <w:rPr>
                <w:rFonts w:hint="eastAsia" w:ascii="宋体" w:hAnsi="宋体" w:eastAsia="宋体" w:cs="宋体"/>
                <w:color w:val="auto"/>
                <w:szCs w:val="21"/>
              </w:rPr>
              <w:t>进行评审。</w:t>
            </w:r>
          </w:p>
          <w:p w14:paraId="2D46D23E">
            <w:pPr>
              <w:spacing w:before="50" w:after="50" w:line="240" w:lineRule="auto"/>
              <w:ind w:firstLine="422" w:firstLineChars="200"/>
              <w:rPr>
                <w:rFonts w:hint="eastAsia" w:ascii="宋体" w:hAnsi="宋体" w:eastAsia="宋体" w:cs="宋体"/>
                <w:color w:val="auto"/>
                <w:szCs w:val="21"/>
              </w:rPr>
            </w:pPr>
            <w:r>
              <w:rPr>
                <w:rFonts w:hint="eastAsia" w:ascii="宋体" w:hAnsi="宋体" w:eastAsia="宋体" w:cs="宋体"/>
                <w:b/>
                <w:bCs/>
                <w:color w:val="auto"/>
                <w:szCs w:val="21"/>
              </w:rPr>
              <w:t>最低价法</w:t>
            </w:r>
            <w:r>
              <w:rPr>
                <w:rFonts w:hint="eastAsia" w:ascii="宋体" w:hAnsi="宋体" w:eastAsia="宋体" w:cs="宋体"/>
                <w:color w:val="auto"/>
                <w:szCs w:val="21"/>
              </w:rPr>
              <w:t>：以价格为主要因素确定成交人，即在全部满足前附表要求（资格评审和响应性评审）前提下，根据各家报价由低到高的顺序，依次推荐三名</w:t>
            </w:r>
            <w:r>
              <w:rPr>
                <w:rFonts w:hint="eastAsia" w:ascii="宋体" w:hAnsi="宋体" w:eastAsia="宋体" w:cs="宋体"/>
                <w:color w:val="auto"/>
                <w:szCs w:val="21"/>
                <w:lang w:val="en-US" w:eastAsia="zh-CN"/>
              </w:rPr>
              <w:t>成交</w:t>
            </w:r>
            <w:r>
              <w:rPr>
                <w:rFonts w:hint="eastAsia" w:ascii="宋体" w:hAnsi="宋体" w:eastAsia="宋体" w:cs="宋体"/>
                <w:color w:val="auto"/>
                <w:szCs w:val="21"/>
              </w:rPr>
              <w:t>候选人。</w:t>
            </w:r>
          </w:p>
          <w:p w14:paraId="10FC7269">
            <w:pPr>
              <w:numPr>
                <w:ilvl w:val="0"/>
                <w:numId w:val="3"/>
              </w:numPr>
              <w:spacing w:before="50" w:after="50" w:line="240" w:lineRule="auto"/>
              <w:ind w:firstLine="420" w:firstLineChars="200"/>
              <w:rPr>
                <w:rFonts w:ascii="Times New Roman" w:hAnsi="Times New Roman" w:cs="Times New Roman"/>
                <w:color w:val="auto"/>
                <w:szCs w:val="21"/>
                <w:highlight w:val="none"/>
              </w:rPr>
            </w:pPr>
            <w:r>
              <w:rPr>
                <w:rFonts w:hint="eastAsia" w:ascii="宋体" w:hAnsi="宋体" w:eastAsia="宋体" w:cs="宋体"/>
                <w:color w:val="auto"/>
                <w:szCs w:val="21"/>
                <w:highlight w:val="none"/>
              </w:rPr>
              <w:t>评审委员会应按照组合价最低原则确定成交人。</w:t>
            </w:r>
          </w:p>
          <w:p w14:paraId="18645EFF">
            <w:pPr>
              <w:widowControl/>
              <w:ind w:firstLine="440" w:firstLineChars="200"/>
              <w:jc w:val="left"/>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lang w:val="en-US" w:eastAsia="zh-CN" w:bidi="ar"/>
              </w:rPr>
              <w:t>3、</w:t>
            </w:r>
            <w:r>
              <w:rPr>
                <w:rFonts w:hint="eastAsia" w:ascii="宋体" w:hAnsi="宋体" w:cs="宋体"/>
                <w:b/>
                <w:color w:val="auto"/>
                <w:kern w:val="0"/>
                <w:sz w:val="22"/>
                <w:szCs w:val="22"/>
                <w:highlight w:val="none"/>
                <w:lang w:bidi="ar"/>
              </w:rPr>
              <w:t>异常低价评审</w:t>
            </w:r>
            <w:r>
              <w:rPr>
                <w:rFonts w:hint="eastAsia" w:ascii="宋体" w:hAnsi="宋体" w:cs="宋体"/>
                <w:color w:val="auto"/>
                <w:kern w:val="0"/>
                <w:sz w:val="22"/>
                <w:szCs w:val="22"/>
                <w:highlight w:val="none"/>
                <w:lang w:bidi="ar"/>
              </w:rPr>
              <w:t xml:space="preserve">： </w:t>
            </w:r>
          </w:p>
          <w:p w14:paraId="3C904D3F">
            <w:pPr>
              <w:keepNext w:val="0"/>
              <w:keepLines w:val="0"/>
              <w:pageBreakBefore w:val="0"/>
              <w:widowControl/>
              <w:kinsoku/>
              <w:wordWrap/>
              <w:overflowPunct/>
              <w:topLinePunct w:val="0"/>
              <w:autoSpaceDE/>
              <w:autoSpaceDN/>
              <w:bidi w:val="0"/>
              <w:adjustRightInd/>
              <w:snapToGrid/>
              <w:spacing w:line="340" w:lineRule="exact"/>
              <w:ind w:firstLine="440" w:firstLineChars="200"/>
              <w:jc w:val="both"/>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lang w:bidi="ar"/>
              </w:rPr>
              <w:t>如</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人的评</w:t>
            </w:r>
            <w:r>
              <w:rPr>
                <w:rFonts w:hint="eastAsia" w:ascii="宋体" w:hAnsi="宋体" w:cs="宋体"/>
                <w:color w:val="auto"/>
                <w:kern w:val="0"/>
                <w:sz w:val="22"/>
                <w:szCs w:val="22"/>
                <w:highlight w:val="none"/>
                <w:lang w:val="en-US" w:eastAsia="zh-CN" w:bidi="ar"/>
              </w:rPr>
              <w:t>审</w:t>
            </w:r>
            <w:r>
              <w:rPr>
                <w:rFonts w:hint="eastAsia" w:ascii="宋体" w:hAnsi="宋体" w:cs="宋体"/>
                <w:color w:val="auto"/>
                <w:kern w:val="0"/>
                <w:sz w:val="22"/>
                <w:szCs w:val="22"/>
                <w:highlight w:val="none"/>
                <w:lang w:bidi="ar"/>
              </w:rPr>
              <w:t>价低于评</w:t>
            </w:r>
            <w:r>
              <w:rPr>
                <w:rFonts w:hint="eastAsia" w:ascii="宋体" w:hAnsi="宋体" w:cs="宋体"/>
                <w:color w:val="auto"/>
                <w:kern w:val="0"/>
                <w:sz w:val="22"/>
                <w:szCs w:val="22"/>
                <w:highlight w:val="none"/>
                <w:lang w:val="en-US" w:eastAsia="zh-CN" w:bidi="ar"/>
              </w:rPr>
              <w:t>审</w:t>
            </w:r>
            <w:r>
              <w:rPr>
                <w:rFonts w:hint="eastAsia" w:ascii="宋体" w:hAnsi="宋体" w:cs="宋体"/>
                <w:color w:val="auto"/>
                <w:kern w:val="0"/>
                <w:sz w:val="22"/>
                <w:szCs w:val="22"/>
                <w:highlight w:val="none"/>
                <w:lang w:bidi="ar"/>
              </w:rPr>
              <w:t>价平均值的90%时，采购人可以在评</w:t>
            </w:r>
            <w:r>
              <w:rPr>
                <w:rFonts w:hint="eastAsia" w:ascii="宋体" w:hAnsi="宋体" w:cs="宋体"/>
                <w:color w:val="auto"/>
                <w:kern w:val="0"/>
                <w:sz w:val="22"/>
                <w:szCs w:val="22"/>
                <w:highlight w:val="none"/>
                <w:lang w:val="en-US" w:eastAsia="zh-CN" w:bidi="ar"/>
              </w:rPr>
              <w:t>审</w:t>
            </w:r>
            <w:r>
              <w:rPr>
                <w:rFonts w:hint="eastAsia" w:ascii="宋体" w:hAnsi="宋体" w:cs="宋体"/>
                <w:color w:val="auto"/>
                <w:kern w:val="0"/>
                <w:sz w:val="22"/>
                <w:szCs w:val="22"/>
                <w:highlight w:val="none"/>
                <w:lang w:bidi="ar"/>
              </w:rPr>
              <w:t>现场要求该</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人作出情况说明并提供相应降低工程造价的相关证明材料，参照附表1异常低价承诺书；同时提供关于合同履行能力及工程质量安全控制能力的承诺（此部分内容的响应人回复时间限时为60分钟，逾期不回复视同</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人放弃澄清、说明或补正内容的权利，采购人可按对</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人不利的解释进行判定。）</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人不能合理说明或者不能提供相应证明材料的，采购人应认定该</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人以低于成本报价，并否决其</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 xml:space="preserve">。 </w:t>
            </w:r>
          </w:p>
          <w:p w14:paraId="43824D9B">
            <w:pPr>
              <w:keepNext w:val="0"/>
              <w:keepLines w:val="0"/>
              <w:pageBreakBefore w:val="0"/>
              <w:widowControl/>
              <w:kinsoku/>
              <w:wordWrap/>
              <w:overflowPunct/>
              <w:topLinePunct w:val="0"/>
              <w:autoSpaceDE/>
              <w:autoSpaceDN/>
              <w:bidi w:val="0"/>
              <w:adjustRightInd/>
              <w:snapToGrid/>
              <w:spacing w:line="340" w:lineRule="exact"/>
              <w:ind w:firstLine="440" w:firstLineChars="200"/>
              <w:jc w:val="both"/>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lang w:bidi="ar"/>
              </w:rPr>
              <w:t xml:space="preserve">注： </w:t>
            </w:r>
          </w:p>
          <w:p w14:paraId="046CE2C7">
            <w:pPr>
              <w:keepNext w:val="0"/>
              <w:keepLines w:val="0"/>
              <w:pageBreakBefore w:val="0"/>
              <w:widowControl/>
              <w:kinsoku/>
              <w:wordWrap/>
              <w:overflowPunct/>
              <w:topLinePunct w:val="0"/>
              <w:autoSpaceDE/>
              <w:autoSpaceDN/>
              <w:bidi w:val="0"/>
              <w:adjustRightInd/>
              <w:snapToGrid/>
              <w:spacing w:line="340" w:lineRule="exact"/>
              <w:ind w:firstLine="440" w:firstLineChars="200"/>
              <w:jc w:val="both"/>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lang w:bidi="ar"/>
              </w:rPr>
              <w:t>1)针对异常低价承诺书请</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人合理考虑时间，可提前准备好降低工程造价的相关证明材料，</w:t>
            </w:r>
            <w:r>
              <w:rPr>
                <w:rFonts w:hint="eastAsia" w:ascii="宋体" w:hAnsi="宋体" w:eastAsia="宋体" w:cs="宋体"/>
                <w:color w:val="auto"/>
                <w:sz w:val="21"/>
                <w:szCs w:val="21"/>
                <w:highlight w:val="none"/>
                <w:lang w:val="en-US" w:eastAsia="zh-CN"/>
              </w:rPr>
              <w:t>以避免错过要求澄清时间</w:t>
            </w:r>
            <w:r>
              <w:rPr>
                <w:rFonts w:hint="eastAsia" w:ascii="宋体" w:hAnsi="宋体" w:cs="宋体"/>
                <w:color w:val="auto"/>
                <w:kern w:val="0"/>
                <w:sz w:val="22"/>
                <w:szCs w:val="22"/>
                <w:highlight w:val="none"/>
                <w:lang w:bidi="ar"/>
              </w:rPr>
              <w:t>，造成的不良后果由</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 xml:space="preserve">人自行承担。 </w:t>
            </w:r>
          </w:p>
          <w:p w14:paraId="3FE2EDCE">
            <w:pPr>
              <w:keepNext w:val="0"/>
              <w:keepLines w:val="0"/>
              <w:pageBreakBefore w:val="0"/>
              <w:widowControl/>
              <w:kinsoku/>
              <w:wordWrap/>
              <w:overflowPunct/>
              <w:topLinePunct w:val="0"/>
              <w:autoSpaceDE/>
              <w:autoSpaceDN/>
              <w:bidi w:val="0"/>
              <w:adjustRightInd/>
              <w:snapToGrid/>
              <w:spacing w:line="340" w:lineRule="exact"/>
              <w:ind w:firstLine="440" w:firstLineChars="200"/>
              <w:jc w:val="both"/>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lang w:bidi="ar"/>
              </w:rPr>
              <w:t>2)以下情形不得作为询标或报价文件中提供异常低价</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说明的依据：①机械、材料、设备自有或闲置；②机械、设备生产厂家市场拓展或品牌宣传或让利支持；③人员闲置；④亏本让利；⑤企业市场拓展或品牌宣传；⑥降低或改变原设计方案、技术工艺、施工标准的；⑦类似项目业绩；⑧采购人认为不得作为降低</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 xml:space="preserve">报价依据的情形。 </w:t>
            </w:r>
          </w:p>
          <w:p w14:paraId="2219BE80">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40" w:firstLineChars="200"/>
              <w:jc w:val="both"/>
              <w:textAlignment w:val="auto"/>
              <w:rPr>
                <w:rFonts w:hint="eastAsia" w:ascii="宋体" w:hAnsi="宋体" w:eastAsia="宋体" w:cs="宋体"/>
                <w:color w:val="auto"/>
                <w:szCs w:val="21"/>
              </w:rPr>
            </w:pPr>
            <w:r>
              <w:rPr>
                <w:rFonts w:hint="eastAsia" w:ascii="宋体" w:hAnsi="宋体" w:cs="宋体"/>
                <w:color w:val="auto"/>
                <w:kern w:val="0"/>
                <w:sz w:val="22"/>
                <w:szCs w:val="22"/>
                <w:highlight w:val="none"/>
                <w:lang w:val="en-US" w:eastAsia="zh-CN" w:bidi="ar"/>
              </w:rPr>
              <w:t>4、</w:t>
            </w:r>
            <w:r>
              <w:rPr>
                <w:rFonts w:hint="eastAsia" w:ascii="宋体" w:hAnsi="宋体" w:cs="宋体"/>
                <w:color w:val="auto"/>
                <w:kern w:val="0"/>
                <w:sz w:val="22"/>
                <w:szCs w:val="22"/>
                <w:highlight w:val="none"/>
                <w:lang w:bidi="ar"/>
              </w:rPr>
              <w:t>风险评估评审：采购人对通过评审的异常低价</w:t>
            </w:r>
            <w:r>
              <w:rPr>
                <w:rFonts w:hint="eastAsia" w:ascii="宋体" w:hAnsi="宋体" w:cs="宋体"/>
                <w:color w:val="auto"/>
                <w:kern w:val="0"/>
                <w:sz w:val="22"/>
                <w:szCs w:val="22"/>
                <w:highlight w:val="none"/>
                <w:lang w:val="en-US" w:eastAsia="zh-CN" w:bidi="ar"/>
              </w:rPr>
              <w:t>成交</w:t>
            </w:r>
            <w:r>
              <w:rPr>
                <w:rFonts w:hint="eastAsia" w:ascii="宋体" w:hAnsi="宋体" w:cs="宋体"/>
                <w:color w:val="auto"/>
                <w:kern w:val="0"/>
                <w:sz w:val="22"/>
                <w:szCs w:val="22"/>
                <w:highlight w:val="none"/>
                <w:lang w:bidi="ar"/>
              </w:rPr>
              <w:t>候选人合同履行能力及工程质量安全等风险进行全面评估，并作为评标结果的附件提交给</w:t>
            </w:r>
            <w:r>
              <w:rPr>
                <w:rFonts w:hint="eastAsia" w:ascii="宋体" w:hAnsi="宋体" w:cs="宋体"/>
                <w:color w:val="auto"/>
                <w:kern w:val="0"/>
                <w:sz w:val="22"/>
                <w:szCs w:val="22"/>
                <w:highlight w:val="none"/>
                <w:lang w:val="en-US" w:eastAsia="zh-CN" w:bidi="ar"/>
              </w:rPr>
              <w:t>采购</w:t>
            </w:r>
            <w:r>
              <w:rPr>
                <w:rFonts w:hint="eastAsia" w:ascii="宋体" w:hAnsi="宋体" w:cs="宋体"/>
                <w:color w:val="auto"/>
                <w:kern w:val="0"/>
                <w:sz w:val="22"/>
                <w:szCs w:val="22"/>
                <w:highlight w:val="none"/>
                <w:lang w:bidi="ar"/>
              </w:rPr>
              <w:t>人。</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人在</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文件中不能作出有效澄清、说明或采购人认定（按少数服从多数的原则）其存在履约及质量安全风险的，采购人应否决其</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w:t>
            </w:r>
          </w:p>
        </w:tc>
      </w:tr>
    </w:tbl>
    <w:p w14:paraId="74BF32FC">
      <w:pPr>
        <w:pStyle w:val="2"/>
        <w:rPr>
          <w:color w:val="auto"/>
        </w:rPr>
      </w:pPr>
    </w:p>
    <w:p w14:paraId="7195F05C">
      <w:pPr>
        <w:widowControl/>
        <w:spacing w:beforeLines="0" w:afterLines="0"/>
        <w:jc w:val="left"/>
        <w:rPr>
          <w:rFonts w:hint="eastAsia" w:ascii="黑体" w:hAnsi="黑体" w:eastAsia="黑体" w:cs="黑体"/>
          <w:b/>
          <w:color w:val="auto"/>
          <w:kern w:val="0"/>
          <w:sz w:val="28"/>
          <w:szCs w:val="28"/>
          <w:lang w:bidi="ar"/>
        </w:rPr>
      </w:pPr>
    </w:p>
    <w:p w14:paraId="3D94BD1A">
      <w:pPr>
        <w:widowControl/>
        <w:spacing w:beforeLines="0" w:afterLines="0"/>
        <w:jc w:val="left"/>
        <w:rPr>
          <w:rFonts w:hint="default"/>
          <w:color w:val="auto"/>
          <w:sz w:val="21"/>
          <w:szCs w:val="24"/>
        </w:rPr>
      </w:pPr>
      <w:r>
        <w:rPr>
          <w:rFonts w:hint="eastAsia" w:ascii="黑体" w:hAnsi="黑体" w:eastAsia="黑体" w:cs="黑体"/>
          <w:b/>
          <w:color w:val="auto"/>
          <w:kern w:val="0"/>
          <w:sz w:val="28"/>
          <w:szCs w:val="28"/>
          <w:lang w:bidi="ar"/>
        </w:rPr>
        <w:t>附表 1：</w:t>
      </w:r>
      <w:r>
        <w:rPr>
          <w:rFonts w:hint="eastAsia" w:ascii="宋体" w:hAnsi="宋体" w:cs="宋体"/>
          <w:b/>
          <w:color w:val="auto"/>
          <w:kern w:val="0"/>
          <w:sz w:val="22"/>
          <w:szCs w:val="22"/>
          <w:lang w:bidi="ar"/>
        </w:rPr>
        <w:t xml:space="preserve"> </w:t>
      </w:r>
    </w:p>
    <w:p w14:paraId="5D7D4303">
      <w:pPr>
        <w:widowControl/>
        <w:spacing w:beforeLines="0" w:afterLines="0"/>
        <w:jc w:val="center"/>
        <w:rPr>
          <w:rFonts w:hint="eastAsia" w:ascii="宋体" w:hAnsi="宋体" w:cs="宋体"/>
          <w:color w:val="auto"/>
          <w:kern w:val="0"/>
          <w:sz w:val="30"/>
          <w:szCs w:val="30"/>
          <w:highlight w:val="none"/>
          <w:lang w:bidi="ar"/>
        </w:rPr>
      </w:pPr>
      <w:r>
        <w:rPr>
          <w:rFonts w:hint="eastAsia" w:ascii="宋体" w:hAnsi="宋体" w:cs="宋体"/>
          <w:color w:val="auto"/>
          <w:kern w:val="0"/>
          <w:sz w:val="30"/>
          <w:szCs w:val="30"/>
          <w:highlight w:val="none"/>
          <w:lang w:bidi="ar"/>
        </w:rPr>
        <w:t>异常低价承诺书</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47"/>
        <w:gridCol w:w="5775"/>
      </w:tblGrid>
      <w:tr w14:paraId="08A84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C4E156B">
            <w:pPr>
              <w:widowControl/>
              <w:spacing w:beforeLines="0" w:afterLines="0"/>
              <w:jc w:val="center"/>
              <w:rPr>
                <w:rFonts w:hint="default"/>
                <w:color w:val="auto"/>
                <w:sz w:val="21"/>
                <w:szCs w:val="24"/>
                <w:highlight w:val="none"/>
              </w:rPr>
            </w:pPr>
            <w:r>
              <w:rPr>
                <w:rFonts w:hint="eastAsia" w:ascii="宋体" w:hAnsi="宋体" w:cs="宋体"/>
                <w:color w:val="auto"/>
                <w:kern w:val="0"/>
                <w:sz w:val="22"/>
                <w:szCs w:val="22"/>
                <w:highlight w:val="none"/>
                <w:lang w:bidi="ar"/>
              </w:rPr>
              <w:t>项目名称</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7DEBC3BF">
            <w:pPr>
              <w:pStyle w:val="2"/>
              <w:spacing w:beforeLines="0" w:afterLines="0"/>
              <w:rPr>
                <w:rFonts w:hint="default"/>
                <w:color w:val="auto"/>
                <w:sz w:val="21"/>
                <w:szCs w:val="24"/>
                <w:highlight w:val="none"/>
              </w:rPr>
            </w:pPr>
          </w:p>
        </w:tc>
      </w:tr>
      <w:tr w14:paraId="753BB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D6041A9">
            <w:pPr>
              <w:widowControl/>
              <w:spacing w:beforeLines="0" w:afterLines="0"/>
              <w:jc w:val="center"/>
              <w:rPr>
                <w:rFonts w:hint="default"/>
                <w:color w:val="auto"/>
                <w:sz w:val="21"/>
                <w:szCs w:val="24"/>
                <w:highlight w:val="none"/>
              </w:rPr>
            </w:pPr>
            <w:r>
              <w:rPr>
                <w:rFonts w:hint="eastAsia" w:ascii="宋体" w:hAnsi="宋体" w:cs="宋体"/>
                <w:color w:val="auto"/>
                <w:kern w:val="0"/>
                <w:sz w:val="22"/>
                <w:szCs w:val="22"/>
                <w:highlight w:val="none"/>
                <w:lang w:bidi="ar"/>
              </w:rPr>
              <w:t>项目报价（元）</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566C94B6">
            <w:pPr>
              <w:pStyle w:val="2"/>
              <w:spacing w:beforeLines="0" w:afterLines="0"/>
              <w:rPr>
                <w:rFonts w:hint="default"/>
                <w:color w:val="auto"/>
                <w:sz w:val="21"/>
                <w:szCs w:val="24"/>
                <w:highlight w:val="none"/>
              </w:rPr>
            </w:pPr>
          </w:p>
        </w:tc>
      </w:tr>
      <w:tr w14:paraId="16632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768B7B1">
            <w:pPr>
              <w:widowControl/>
              <w:spacing w:beforeLines="0" w:afterLines="0"/>
              <w:jc w:val="center"/>
              <w:rPr>
                <w:rFonts w:hint="default"/>
                <w:color w:val="auto"/>
                <w:sz w:val="21"/>
                <w:szCs w:val="24"/>
                <w:highlight w:val="none"/>
              </w:rPr>
            </w:pPr>
            <w:r>
              <w:rPr>
                <w:rFonts w:hint="eastAsia" w:ascii="宋体" w:hAnsi="宋体" w:cs="宋体"/>
                <w:color w:val="auto"/>
                <w:kern w:val="0"/>
                <w:sz w:val="22"/>
                <w:szCs w:val="22"/>
                <w:highlight w:val="none"/>
                <w:lang w:bidi="ar"/>
              </w:rPr>
              <w:t>项目限价（元）</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100A811D">
            <w:pPr>
              <w:pStyle w:val="2"/>
              <w:spacing w:beforeLines="0" w:afterLines="0"/>
              <w:rPr>
                <w:rFonts w:hint="default"/>
                <w:color w:val="auto"/>
                <w:sz w:val="21"/>
                <w:szCs w:val="24"/>
                <w:highlight w:val="none"/>
              </w:rPr>
            </w:pPr>
          </w:p>
        </w:tc>
      </w:tr>
      <w:tr w14:paraId="1002E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5615868">
            <w:pPr>
              <w:widowControl/>
              <w:spacing w:beforeLines="0" w:afterLines="0"/>
              <w:jc w:val="center"/>
              <w:rPr>
                <w:rFonts w:hint="default"/>
                <w:color w:val="auto"/>
                <w:sz w:val="21"/>
                <w:szCs w:val="24"/>
                <w:highlight w:val="none"/>
              </w:rPr>
            </w:pPr>
            <w:r>
              <w:rPr>
                <w:rFonts w:hint="eastAsia" w:ascii="宋体" w:hAnsi="宋体" w:cs="宋体"/>
                <w:color w:val="auto"/>
                <w:kern w:val="0"/>
                <w:sz w:val="22"/>
                <w:szCs w:val="22"/>
                <w:highlight w:val="none"/>
                <w:lang w:bidi="ar"/>
              </w:rPr>
              <w:t>降低工程造价的说明</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4C562D85">
            <w:pPr>
              <w:pStyle w:val="2"/>
              <w:spacing w:beforeLines="0" w:afterLines="0"/>
              <w:rPr>
                <w:rFonts w:hint="default"/>
                <w:color w:val="auto"/>
                <w:sz w:val="21"/>
                <w:szCs w:val="24"/>
                <w:highlight w:val="none"/>
              </w:rPr>
            </w:pPr>
          </w:p>
        </w:tc>
      </w:tr>
      <w:tr w14:paraId="4BBD7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8"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B61823D">
            <w:pPr>
              <w:widowControl/>
              <w:spacing w:beforeLines="0" w:afterLines="0"/>
              <w:jc w:val="center"/>
              <w:rPr>
                <w:rFonts w:hint="default"/>
                <w:color w:val="auto"/>
                <w:sz w:val="21"/>
                <w:szCs w:val="24"/>
                <w:highlight w:val="none"/>
              </w:rPr>
            </w:pPr>
            <w:r>
              <w:rPr>
                <w:rFonts w:hint="eastAsia" w:ascii="宋体" w:hAnsi="宋体" w:cs="宋体"/>
                <w:color w:val="auto"/>
                <w:kern w:val="0"/>
                <w:sz w:val="22"/>
                <w:szCs w:val="22"/>
                <w:highlight w:val="none"/>
                <w:lang w:bidi="ar"/>
              </w:rPr>
              <w:t>承诺</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11FB0C7">
            <w:pPr>
              <w:widowControl/>
              <w:spacing w:beforeLines="0" w:afterLines="0"/>
              <w:rPr>
                <w:rFonts w:hint="default"/>
                <w:color w:val="auto"/>
                <w:sz w:val="21"/>
                <w:szCs w:val="24"/>
                <w:highlight w:val="none"/>
              </w:rPr>
            </w:pPr>
            <w:r>
              <w:rPr>
                <w:rFonts w:hint="eastAsia" w:ascii="Times New Roman" w:hAnsi="Times New Roman" w:eastAsia="Times New Roman"/>
                <w:color w:val="auto"/>
                <w:kern w:val="0"/>
                <w:sz w:val="22"/>
                <w:szCs w:val="22"/>
                <w:highlight w:val="none"/>
                <w:lang w:bidi="ar"/>
              </w:rPr>
              <w:t>1.</w:t>
            </w:r>
            <w:r>
              <w:rPr>
                <w:rFonts w:hint="eastAsia" w:ascii="宋体" w:hAnsi="宋体" w:cs="宋体"/>
                <w:color w:val="auto"/>
                <w:kern w:val="0"/>
                <w:sz w:val="22"/>
                <w:szCs w:val="22"/>
                <w:highlight w:val="none"/>
                <w:lang w:bidi="ar"/>
              </w:rPr>
              <w:t>我公司承诺本表提供的内容及相关资料均属实；</w:t>
            </w:r>
          </w:p>
          <w:p w14:paraId="15B08D22">
            <w:pPr>
              <w:widowControl/>
              <w:spacing w:beforeLines="0" w:afterLines="0"/>
              <w:rPr>
                <w:rFonts w:hint="default"/>
                <w:color w:val="auto"/>
                <w:sz w:val="21"/>
                <w:szCs w:val="24"/>
                <w:highlight w:val="none"/>
              </w:rPr>
            </w:pPr>
            <w:r>
              <w:rPr>
                <w:rFonts w:hint="eastAsia" w:ascii="Times New Roman" w:hAnsi="Times New Roman" w:eastAsia="Times New Roman"/>
                <w:color w:val="auto"/>
                <w:kern w:val="0"/>
                <w:sz w:val="22"/>
                <w:szCs w:val="22"/>
                <w:highlight w:val="none"/>
                <w:lang w:bidi="ar"/>
              </w:rPr>
              <w:t>2.</w:t>
            </w:r>
            <w:r>
              <w:rPr>
                <w:rFonts w:hint="eastAsia" w:ascii="宋体" w:hAnsi="宋体" w:cs="宋体"/>
                <w:color w:val="auto"/>
                <w:kern w:val="0"/>
                <w:sz w:val="22"/>
                <w:szCs w:val="22"/>
                <w:highlight w:val="none"/>
                <w:lang w:bidi="ar"/>
              </w:rPr>
              <w:t>我公司承诺没有</w:t>
            </w:r>
            <w:r>
              <w:rPr>
                <w:rFonts w:hint="eastAsia" w:ascii="宋体" w:hAnsi="宋体" w:cs="宋体"/>
                <w:color w:val="auto"/>
                <w:kern w:val="0"/>
                <w:sz w:val="22"/>
                <w:szCs w:val="22"/>
                <w:highlight w:val="none"/>
                <w:lang w:val="en-US" w:eastAsia="zh-CN" w:bidi="ar"/>
              </w:rPr>
              <w:t>采购</w:t>
            </w:r>
            <w:r>
              <w:rPr>
                <w:rFonts w:hint="eastAsia" w:ascii="宋体" w:hAnsi="宋体" w:cs="宋体"/>
                <w:color w:val="auto"/>
                <w:kern w:val="0"/>
                <w:sz w:val="22"/>
                <w:szCs w:val="22"/>
                <w:highlight w:val="none"/>
                <w:lang w:bidi="ar"/>
              </w:rPr>
              <w:t>文件约定的降低</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报价的禁止情形；</w:t>
            </w:r>
          </w:p>
          <w:p w14:paraId="627073BA">
            <w:pPr>
              <w:widowControl/>
              <w:spacing w:beforeLines="0" w:afterLines="0"/>
              <w:rPr>
                <w:rFonts w:hint="default"/>
                <w:color w:val="auto"/>
                <w:sz w:val="21"/>
                <w:szCs w:val="24"/>
                <w:highlight w:val="none"/>
              </w:rPr>
            </w:pPr>
            <w:r>
              <w:rPr>
                <w:rFonts w:hint="eastAsia" w:ascii="Times New Roman" w:hAnsi="Times New Roman" w:eastAsia="Times New Roman"/>
                <w:color w:val="auto"/>
                <w:kern w:val="0"/>
                <w:sz w:val="22"/>
                <w:szCs w:val="22"/>
                <w:highlight w:val="none"/>
                <w:lang w:bidi="ar"/>
              </w:rPr>
              <w:t>3.</w:t>
            </w:r>
            <w:r>
              <w:rPr>
                <w:rFonts w:hint="eastAsia" w:ascii="宋体" w:hAnsi="宋体" w:cs="宋体"/>
                <w:color w:val="auto"/>
                <w:kern w:val="0"/>
                <w:sz w:val="22"/>
                <w:szCs w:val="22"/>
                <w:highlight w:val="none"/>
                <w:lang w:bidi="ar"/>
              </w:rPr>
              <w:t>我公司承诺具备合同履行能力及工程质量安全控制能力。</w:t>
            </w:r>
          </w:p>
        </w:tc>
      </w:tr>
    </w:tbl>
    <w:p w14:paraId="3965A144">
      <w:pPr>
        <w:pStyle w:val="2"/>
        <w:spacing w:beforeLines="0" w:afterLines="0"/>
        <w:rPr>
          <w:rFonts w:hint="default"/>
          <w:color w:val="auto"/>
          <w:sz w:val="21"/>
          <w:szCs w:val="24"/>
          <w:highlight w:val="none"/>
        </w:rPr>
      </w:pPr>
    </w:p>
    <w:p w14:paraId="758D9198">
      <w:pPr>
        <w:widowControl/>
        <w:spacing w:beforeLines="0" w:afterLines="0"/>
        <w:jc w:val="left"/>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 xml:space="preserve">注： </w:t>
      </w:r>
    </w:p>
    <w:p w14:paraId="03F0CA60">
      <w:pPr>
        <w:widowControl/>
        <w:spacing w:beforeLines="0" w:afterLines="0"/>
        <w:jc w:val="left"/>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 xml:space="preserve">1.此表格后附异常低价评审的相关证明材料； </w:t>
      </w:r>
    </w:p>
    <w:p w14:paraId="786F1069">
      <w:pPr>
        <w:widowControl/>
        <w:spacing w:beforeLines="0" w:afterLines="0"/>
        <w:jc w:val="left"/>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2.</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人在制作</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文件时该页可放置在报价文件-其他的资料中，或在评</w:t>
      </w:r>
      <w:r>
        <w:rPr>
          <w:rFonts w:hint="eastAsia" w:ascii="宋体" w:hAnsi="宋体" w:cs="宋体"/>
          <w:color w:val="auto"/>
          <w:kern w:val="0"/>
          <w:sz w:val="22"/>
          <w:szCs w:val="22"/>
          <w:highlight w:val="none"/>
          <w:lang w:val="en-US" w:eastAsia="zh-CN" w:bidi="ar"/>
        </w:rPr>
        <w:t>审</w:t>
      </w:r>
      <w:r>
        <w:rPr>
          <w:rFonts w:hint="eastAsia" w:ascii="宋体" w:hAnsi="宋体" w:cs="宋体"/>
          <w:color w:val="auto"/>
          <w:kern w:val="0"/>
          <w:sz w:val="22"/>
          <w:szCs w:val="22"/>
          <w:highlight w:val="none"/>
          <w:lang w:bidi="ar"/>
        </w:rPr>
        <w:t>委员会发询标函时作为附件提供。</w:t>
      </w:r>
    </w:p>
    <w:p w14:paraId="6ECD24DF">
      <w:pPr>
        <w:jc w:val="left"/>
        <w:rPr>
          <w:rFonts w:ascii="Times New Roman" w:hAnsi="Times New Roman" w:eastAsia="黑体" w:cs="Times New Roman"/>
          <w:bCs/>
          <w:color w:val="auto"/>
          <w:sz w:val="24"/>
          <w:szCs w:val="32"/>
        </w:rPr>
      </w:pPr>
    </w:p>
    <w:p w14:paraId="1CB9FC75">
      <w:pPr>
        <w:jc w:val="left"/>
        <w:rPr>
          <w:rFonts w:ascii="Times New Roman" w:hAnsi="Times New Roman" w:eastAsia="黑体" w:cs="Times New Roman"/>
          <w:bCs/>
          <w:color w:val="auto"/>
          <w:sz w:val="24"/>
          <w:szCs w:val="32"/>
        </w:rPr>
      </w:pPr>
    </w:p>
    <w:p w14:paraId="44B7F61F">
      <w:pPr>
        <w:jc w:val="left"/>
        <w:rPr>
          <w:rFonts w:ascii="Times New Roman" w:hAnsi="Times New Roman" w:eastAsia="黑体" w:cs="Times New Roman"/>
          <w:bCs/>
          <w:color w:val="auto"/>
          <w:sz w:val="24"/>
          <w:szCs w:val="32"/>
        </w:rPr>
      </w:pPr>
    </w:p>
    <w:p w14:paraId="21EE2FC2">
      <w:pPr>
        <w:jc w:val="left"/>
        <w:rPr>
          <w:rFonts w:ascii="Times New Roman" w:hAnsi="Times New Roman" w:eastAsia="黑体" w:cs="Times New Roman"/>
          <w:bCs/>
          <w:color w:val="auto"/>
          <w:sz w:val="24"/>
          <w:szCs w:val="32"/>
        </w:rPr>
      </w:pPr>
    </w:p>
    <w:p w14:paraId="3F03030B">
      <w:pPr>
        <w:jc w:val="left"/>
        <w:rPr>
          <w:rFonts w:ascii="Times New Roman" w:hAnsi="Times New Roman" w:eastAsia="黑体" w:cs="Times New Roman"/>
          <w:bCs/>
          <w:color w:val="auto"/>
          <w:sz w:val="24"/>
          <w:szCs w:val="32"/>
        </w:rPr>
      </w:pPr>
    </w:p>
    <w:p w14:paraId="2ACF77CB">
      <w:pPr>
        <w:jc w:val="left"/>
        <w:rPr>
          <w:rFonts w:ascii="Times New Roman" w:hAnsi="Times New Roman" w:eastAsia="黑体" w:cs="Times New Roman"/>
          <w:bCs/>
          <w:color w:val="auto"/>
          <w:sz w:val="24"/>
          <w:szCs w:val="32"/>
        </w:rPr>
      </w:pPr>
    </w:p>
    <w:p w14:paraId="73C0164E">
      <w:pPr>
        <w:jc w:val="left"/>
        <w:rPr>
          <w:rFonts w:ascii="Times New Roman" w:hAnsi="Times New Roman" w:eastAsia="黑体" w:cs="Times New Roman"/>
          <w:bCs/>
          <w:color w:val="auto"/>
          <w:sz w:val="24"/>
          <w:szCs w:val="32"/>
        </w:rPr>
      </w:pPr>
    </w:p>
    <w:p w14:paraId="11C04EF0">
      <w:pPr>
        <w:jc w:val="left"/>
        <w:rPr>
          <w:rFonts w:ascii="Times New Roman" w:hAnsi="Times New Roman" w:eastAsia="黑体" w:cs="Times New Roman"/>
          <w:bCs/>
          <w:color w:val="auto"/>
          <w:sz w:val="24"/>
          <w:szCs w:val="32"/>
        </w:rPr>
      </w:pPr>
    </w:p>
    <w:p w14:paraId="0D1951E5">
      <w:pPr>
        <w:jc w:val="left"/>
        <w:rPr>
          <w:rFonts w:ascii="Times New Roman" w:hAnsi="Times New Roman" w:eastAsia="黑体" w:cs="Times New Roman"/>
          <w:bCs/>
          <w:color w:val="auto"/>
          <w:sz w:val="24"/>
          <w:szCs w:val="32"/>
        </w:rPr>
      </w:pPr>
    </w:p>
    <w:p w14:paraId="7873FBEF">
      <w:pPr>
        <w:jc w:val="left"/>
        <w:rPr>
          <w:rFonts w:ascii="Times New Roman" w:hAnsi="Times New Roman" w:eastAsia="黑体" w:cs="Times New Roman"/>
          <w:bCs/>
          <w:color w:val="auto"/>
          <w:sz w:val="24"/>
          <w:szCs w:val="32"/>
        </w:rPr>
      </w:pPr>
    </w:p>
    <w:p w14:paraId="26DF41B3">
      <w:pPr>
        <w:jc w:val="left"/>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 评审方法</w:t>
      </w:r>
    </w:p>
    <w:p w14:paraId="1F4C6CAD">
      <w:pPr>
        <w:spacing w:line="440" w:lineRule="exact"/>
        <w:ind w:firstLine="420"/>
        <w:rPr>
          <w:rFonts w:ascii="Times New Roman" w:hAnsi="Times New Roman" w:cs="Times New Roman"/>
          <w:color w:val="auto"/>
        </w:rPr>
      </w:pPr>
      <w:r>
        <w:rPr>
          <w:rFonts w:hint="eastAsia" w:ascii="Times New Roman" w:hAnsi="Times New Roman" w:cs="Times New Roman"/>
          <w:color w:val="auto"/>
          <w:lang w:val="en-US" w:eastAsia="zh-CN"/>
        </w:rPr>
        <w:t>1.1</w:t>
      </w:r>
      <w:r>
        <w:rPr>
          <w:rFonts w:ascii="Times New Roman" w:hAnsi="Times New Roman" w:cs="Times New Roman"/>
          <w:color w:val="auto"/>
        </w:rPr>
        <w:t>本次评审采用</w:t>
      </w:r>
      <w:r>
        <w:rPr>
          <w:rFonts w:hint="eastAsia" w:ascii="Times New Roman" w:hAnsi="Times New Roman" w:cs="Times New Roman"/>
          <w:color w:val="auto"/>
        </w:rPr>
        <w:t>最低价法</w:t>
      </w:r>
      <w:r>
        <w:rPr>
          <w:rFonts w:ascii="Times New Roman" w:hAnsi="Times New Roman" w:cs="Times New Roman"/>
          <w:color w:val="auto"/>
        </w:rPr>
        <w:t>。</w:t>
      </w:r>
      <w:r>
        <w:rPr>
          <w:rFonts w:hint="eastAsia" w:ascii="Times New Roman" w:hAnsi="Times New Roman" w:cs="Times New Roman"/>
          <w:color w:val="auto"/>
        </w:rPr>
        <w:t>评审小组</w:t>
      </w:r>
      <w:r>
        <w:rPr>
          <w:rFonts w:ascii="Times New Roman" w:hAnsi="Times New Roman" w:cs="Times New Roman"/>
          <w:color w:val="auto"/>
        </w:rPr>
        <w:t>对满足询比文件实质性要求的响应文件</w:t>
      </w:r>
      <w:r>
        <w:rPr>
          <w:rFonts w:hint="eastAsia" w:ascii="Times New Roman" w:hAnsi="Times New Roman" w:cs="Times New Roman"/>
          <w:color w:val="auto"/>
        </w:rPr>
        <w:t>，</w:t>
      </w:r>
      <w:r>
        <w:rPr>
          <w:rFonts w:ascii="Times New Roman" w:hAnsi="Times New Roman" w:cs="Times New Roman"/>
          <w:color w:val="auto"/>
        </w:rPr>
        <w:t>按照</w:t>
      </w:r>
      <w:r>
        <w:rPr>
          <w:rFonts w:hint="eastAsia" w:ascii="Times New Roman" w:hAnsi="Times New Roman" w:cs="Times New Roman"/>
          <w:color w:val="auto"/>
        </w:rPr>
        <w:t>评审</w:t>
      </w:r>
      <w:r>
        <w:rPr>
          <w:rFonts w:ascii="Times New Roman" w:hAnsi="Times New Roman" w:cs="Times New Roman"/>
          <w:color w:val="auto"/>
        </w:rPr>
        <w:t>价由低到高的顺序依次推荐</w:t>
      </w:r>
      <w:r>
        <w:rPr>
          <w:rFonts w:hint="eastAsia" w:ascii="Times New Roman" w:hAnsi="Times New Roman" w:cs="Times New Roman"/>
          <w:color w:val="auto"/>
        </w:rPr>
        <w:t>成交候选人</w:t>
      </w:r>
      <w:r>
        <w:rPr>
          <w:rFonts w:ascii="Times New Roman" w:hAnsi="Times New Roman" w:cs="Times New Roman"/>
          <w:color w:val="auto"/>
        </w:rPr>
        <w:t>。如</w:t>
      </w:r>
      <w:r>
        <w:rPr>
          <w:rFonts w:hint="eastAsia" w:ascii="Times New Roman" w:hAnsi="Times New Roman" w:cs="Times New Roman"/>
          <w:color w:val="auto"/>
        </w:rPr>
        <w:t>报价</w:t>
      </w:r>
      <w:r>
        <w:rPr>
          <w:rFonts w:ascii="Times New Roman" w:hAnsi="Times New Roman" w:cs="Times New Roman"/>
          <w:color w:val="auto"/>
        </w:rPr>
        <w:t>相同的，按照</w:t>
      </w:r>
      <w:r>
        <w:rPr>
          <w:rFonts w:hint="eastAsia" w:ascii="Times New Roman" w:hAnsi="Times New Roman" w:cs="Times New Roman"/>
          <w:color w:val="auto"/>
        </w:rPr>
        <w:t>评审</w:t>
      </w:r>
      <w:r>
        <w:rPr>
          <w:rFonts w:ascii="Times New Roman" w:hAnsi="Times New Roman" w:cs="Times New Roman"/>
          <w:color w:val="auto"/>
        </w:rPr>
        <w:t>办法前附表中的规定确定</w:t>
      </w:r>
      <w:r>
        <w:rPr>
          <w:rFonts w:hint="eastAsia" w:ascii="Times New Roman" w:hAnsi="Times New Roman" w:cs="Times New Roman"/>
          <w:color w:val="auto"/>
        </w:rPr>
        <w:t>成交候选人</w:t>
      </w:r>
      <w:r>
        <w:rPr>
          <w:rFonts w:ascii="Times New Roman" w:hAnsi="Times New Roman" w:cs="Times New Roman"/>
          <w:color w:val="auto"/>
        </w:rPr>
        <w:t>顺序。</w:t>
      </w:r>
    </w:p>
    <w:p w14:paraId="280544FD">
      <w:pPr>
        <w:spacing w:line="440" w:lineRule="exact"/>
        <w:ind w:firstLine="420"/>
        <w:rPr>
          <w:rFonts w:hint="default" w:ascii="Times New Roman" w:hAnsi="Times New Roman" w:eastAsiaTheme="minorEastAsia"/>
          <w:color w:val="auto"/>
          <w:sz w:val="21"/>
          <w:szCs w:val="24"/>
          <w:highlight w:val="yellow"/>
          <w:lang w:val="en-US" w:eastAsia="zh-CN"/>
        </w:rPr>
      </w:pPr>
      <w:r>
        <w:rPr>
          <w:rFonts w:hint="eastAsia" w:ascii="Times New Roman" w:hAnsi="Times New Roman"/>
          <w:color w:val="auto"/>
          <w:sz w:val="21"/>
          <w:szCs w:val="24"/>
          <w:highlight w:val="yellow"/>
          <w:lang w:val="en-US" w:eastAsia="zh-CN"/>
        </w:rPr>
        <w:t>1.2采购人应当确定排名第一的成交候选供应商为成交供应商。排名第一的成交候选供应商放弃成交、因不可抗力提出不能履行合同，不按照采购文件要求提交履约保证金，或者被查实存在影响成交结果的违法违规行为等情形不符合成交条件的，或者合同执行期间成交人无法按采购人要求履行合同的，采购人可以按照评审结果排序重新确定成交供应商，重新确定成交供应商的，采购人有权与其二次谈判价格。确定其他成交候选供应商与采购人预期差距较大，或者对采购人明显不利的，采购人可以重新采购。</w:t>
      </w:r>
    </w:p>
    <w:p w14:paraId="3363BB73">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2. 评审标准</w:t>
      </w:r>
    </w:p>
    <w:p w14:paraId="141B084A">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2.1 初步评审标准</w:t>
      </w:r>
    </w:p>
    <w:p w14:paraId="6C19CCBB">
      <w:pPr>
        <w:spacing w:line="440" w:lineRule="exact"/>
        <w:ind w:firstLine="420"/>
        <w:rPr>
          <w:rFonts w:ascii="Times New Roman" w:hAnsi="Times New Roman" w:cs="Times New Roman"/>
          <w:color w:val="auto"/>
        </w:rPr>
      </w:pPr>
      <w:r>
        <w:rPr>
          <w:rFonts w:ascii="Times New Roman" w:hAnsi="Times New Roman" w:cs="Times New Roman"/>
          <w:color w:val="auto"/>
        </w:rPr>
        <w:t>2.1.1 形式评审标准：见评审办法前附表。</w:t>
      </w:r>
    </w:p>
    <w:p w14:paraId="34D01792">
      <w:pPr>
        <w:spacing w:line="440" w:lineRule="exact"/>
        <w:ind w:firstLine="420"/>
        <w:rPr>
          <w:rFonts w:ascii="Times New Roman" w:hAnsi="Times New Roman" w:cs="Times New Roman"/>
          <w:color w:val="auto"/>
        </w:rPr>
      </w:pPr>
      <w:r>
        <w:rPr>
          <w:rFonts w:ascii="Times New Roman" w:hAnsi="Times New Roman" w:cs="Times New Roman"/>
          <w:color w:val="auto"/>
        </w:rPr>
        <w:t>2.1.2 资格评审标准：见评审办法前附表。</w:t>
      </w:r>
    </w:p>
    <w:p w14:paraId="2E251CC6">
      <w:pPr>
        <w:spacing w:line="440" w:lineRule="exact"/>
        <w:ind w:firstLine="420"/>
        <w:rPr>
          <w:rFonts w:ascii="Times New Roman" w:hAnsi="Times New Roman" w:cs="Times New Roman"/>
          <w:color w:val="auto"/>
        </w:rPr>
      </w:pPr>
      <w:r>
        <w:rPr>
          <w:rFonts w:ascii="Times New Roman" w:hAnsi="Times New Roman" w:cs="Times New Roman"/>
          <w:color w:val="auto"/>
        </w:rPr>
        <w:t>2.1.3 响应性评审标准：见评审办法前附表。</w:t>
      </w:r>
    </w:p>
    <w:p w14:paraId="2A209702">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 评审程序</w:t>
      </w:r>
    </w:p>
    <w:p w14:paraId="3F4DE851">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3.1 初步评审</w:t>
      </w:r>
    </w:p>
    <w:p w14:paraId="2AD634EF">
      <w:pPr>
        <w:spacing w:line="440" w:lineRule="exact"/>
        <w:ind w:firstLine="420"/>
        <w:rPr>
          <w:rFonts w:ascii="Times New Roman" w:hAnsi="Times New Roman" w:cs="Times New Roman"/>
          <w:color w:val="auto"/>
        </w:rPr>
      </w:pPr>
      <w:r>
        <w:rPr>
          <w:rFonts w:ascii="Times New Roman" w:hAnsi="Times New Roman" w:cs="Times New Roman"/>
          <w:color w:val="auto"/>
        </w:rPr>
        <w:t>3.1.1</w:t>
      </w:r>
      <w:r>
        <w:rPr>
          <w:rFonts w:hint="eastAsia" w:ascii="Times New Roman" w:hAnsi="Times New Roman" w:cs="Times New Roman"/>
          <w:color w:val="auto"/>
        </w:rPr>
        <w:t xml:space="preserve"> 评审小组</w:t>
      </w:r>
      <w:r>
        <w:rPr>
          <w:rFonts w:ascii="Times New Roman" w:hAnsi="Times New Roman" w:cs="Times New Roman"/>
          <w:color w:val="auto"/>
        </w:rPr>
        <w:t>依</w:t>
      </w:r>
      <w:r>
        <w:rPr>
          <w:rFonts w:ascii="Times New Roman" w:hAnsi="Times New Roman" w:cs="Times New Roman"/>
          <w:color w:val="auto"/>
          <w:highlight w:val="none"/>
        </w:rPr>
        <w:t>据本章第2.1.1项、第2.1.2项、第2.1.3项规</w:t>
      </w:r>
      <w:r>
        <w:rPr>
          <w:rFonts w:ascii="Times New Roman" w:hAnsi="Times New Roman" w:cs="Times New Roman"/>
          <w:color w:val="auto"/>
        </w:rPr>
        <w:t>定的标准对响应文件进行评审。有一项不符合评审标准的，</w:t>
      </w:r>
      <w:r>
        <w:rPr>
          <w:rFonts w:hint="eastAsia" w:ascii="Times New Roman" w:hAnsi="Times New Roman" w:cs="Times New Roman"/>
          <w:color w:val="auto"/>
        </w:rPr>
        <w:t>评审小组</w:t>
      </w:r>
      <w:r>
        <w:rPr>
          <w:rFonts w:ascii="Times New Roman" w:hAnsi="Times New Roman" w:cs="Times New Roman"/>
          <w:color w:val="auto"/>
        </w:rPr>
        <w:t>应否决其</w:t>
      </w:r>
      <w:r>
        <w:rPr>
          <w:rFonts w:hint="eastAsia" w:ascii="Times New Roman" w:hAnsi="Times New Roman" w:cs="Times New Roman"/>
          <w:color w:val="auto"/>
        </w:rPr>
        <w:t>响应文件</w:t>
      </w:r>
      <w:r>
        <w:rPr>
          <w:rFonts w:ascii="Times New Roman" w:hAnsi="Times New Roman" w:cs="Times New Roman"/>
          <w:color w:val="auto"/>
        </w:rPr>
        <w:t>。</w:t>
      </w:r>
    </w:p>
    <w:p w14:paraId="76B96F91">
      <w:pPr>
        <w:spacing w:line="440" w:lineRule="exact"/>
        <w:ind w:firstLine="420"/>
        <w:rPr>
          <w:rFonts w:ascii="Times New Roman" w:hAnsi="Times New Roman" w:cs="Times New Roman"/>
          <w:color w:val="auto"/>
        </w:rPr>
      </w:pPr>
      <w:r>
        <w:rPr>
          <w:rFonts w:ascii="Times New Roman" w:hAnsi="Times New Roman" w:cs="Times New Roman"/>
          <w:color w:val="auto"/>
        </w:rPr>
        <w:t>3.1.</w:t>
      </w:r>
      <w:r>
        <w:rPr>
          <w:rFonts w:hint="eastAsia" w:ascii="Times New Roman" w:hAnsi="Times New Roman" w:cs="Times New Roman"/>
          <w:color w:val="auto"/>
        </w:rPr>
        <w:t xml:space="preserve">2 </w:t>
      </w:r>
      <w:r>
        <w:rPr>
          <w:rFonts w:ascii="Times New Roman" w:hAnsi="Times New Roman" w:cs="Times New Roman"/>
          <w:color w:val="auto"/>
        </w:rPr>
        <w:t>响应文件中填报的报价、</w:t>
      </w:r>
      <w:r>
        <w:rPr>
          <w:rFonts w:hint="eastAsia" w:ascii="Times New Roman" w:hAnsi="Times New Roman" w:cs="Times New Roman"/>
          <w:color w:val="auto"/>
        </w:rPr>
        <w:t>交货期</w:t>
      </w:r>
      <w:r>
        <w:rPr>
          <w:rFonts w:ascii="Times New Roman" w:hAnsi="Times New Roman" w:cs="Times New Roman"/>
          <w:color w:val="auto"/>
        </w:rPr>
        <w:t>、质量标准前后不一致</w:t>
      </w:r>
      <w:r>
        <w:rPr>
          <w:rFonts w:hint="eastAsia" w:ascii="Times New Roman" w:hAnsi="Times New Roman" w:cs="Times New Roman"/>
          <w:color w:val="auto"/>
        </w:rPr>
        <w:t>，且报价函中填写的内容满足询比文件要求</w:t>
      </w:r>
      <w:r>
        <w:rPr>
          <w:rFonts w:ascii="Times New Roman" w:hAnsi="Times New Roman" w:cs="Times New Roman"/>
          <w:color w:val="auto"/>
        </w:rPr>
        <w:t>时，</w:t>
      </w:r>
      <w:r>
        <w:rPr>
          <w:rFonts w:hint="eastAsia" w:ascii="Times New Roman" w:hAnsi="Times New Roman" w:cs="Times New Roman"/>
          <w:color w:val="auto"/>
        </w:rPr>
        <w:t>按细微偏差处理，并</w:t>
      </w:r>
      <w:r>
        <w:rPr>
          <w:rFonts w:ascii="Times New Roman" w:hAnsi="Times New Roman" w:cs="Times New Roman"/>
          <w:color w:val="auto"/>
        </w:rPr>
        <w:t>以报价函填报的为准</w:t>
      </w:r>
      <w:r>
        <w:rPr>
          <w:rFonts w:hint="eastAsia" w:ascii="Times New Roman" w:hAnsi="Times New Roman" w:cs="Times New Roman"/>
          <w:color w:val="auto"/>
        </w:rPr>
        <w:t>。</w:t>
      </w:r>
    </w:p>
    <w:p w14:paraId="42F9F71A">
      <w:pPr>
        <w:spacing w:line="440" w:lineRule="exact"/>
        <w:ind w:firstLine="420"/>
        <w:rPr>
          <w:rFonts w:ascii="Times New Roman" w:hAnsi="Times New Roman" w:cs="Times New Roman"/>
          <w:color w:val="auto"/>
        </w:rPr>
      </w:pPr>
      <w:r>
        <w:rPr>
          <w:rFonts w:hint="eastAsia" w:ascii="Times New Roman" w:hAnsi="Times New Roman" w:cs="Times New Roman"/>
          <w:color w:val="auto"/>
        </w:rPr>
        <w:t xml:space="preserve">3.1.3 </w:t>
      </w:r>
      <w:r>
        <w:rPr>
          <w:rFonts w:ascii="Times New Roman" w:hAnsi="Times New Roman" w:cs="Times New Roman"/>
          <w:color w:val="auto"/>
        </w:rPr>
        <w:t>报价存在</w:t>
      </w:r>
      <w:r>
        <w:rPr>
          <w:rFonts w:hint="eastAsia" w:ascii="Times New Roman" w:hAnsi="Times New Roman" w:cs="Times New Roman"/>
          <w:color w:val="auto"/>
        </w:rPr>
        <w:t>以下</w:t>
      </w:r>
      <w:r>
        <w:rPr>
          <w:rFonts w:ascii="Times New Roman" w:hAnsi="Times New Roman" w:cs="Times New Roman"/>
          <w:color w:val="auto"/>
        </w:rPr>
        <w:t>细微偏差的，</w:t>
      </w:r>
      <w:r>
        <w:rPr>
          <w:rFonts w:hint="eastAsia" w:ascii="Times New Roman" w:hAnsi="Times New Roman" w:cs="Times New Roman"/>
          <w:color w:val="auto"/>
        </w:rPr>
        <w:t>评审小组</w:t>
      </w:r>
      <w:r>
        <w:rPr>
          <w:rFonts w:ascii="Times New Roman" w:hAnsi="Times New Roman" w:cs="Times New Roman"/>
          <w:color w:val="auto"/>
        </w:rPr>
        <w:t>按以上原则对报价进行处理，并要求供应商书面澄清确认，供应商拒不澄清确认的，</w:t>
      </w:r>
      <w:r>
        <w:rPr>
          <w:rFonts w:hint="eastAsia" w:ascii="Times New Roman" w:hAnsi="Times New Roman" w:cs="Times New Roman"/>
          <w:color w:val="auto"/>
        </w:rPr>
        <w:t>评审小组</w:t>
      </w:r>
      <w:r>
        <w:rPr>
          <w:rFonts w:ascii="Times New Roman" w:hAnsi="Times New Roman" w:cs="Times New Roman"/>
          <w:color w:val="auto"/>
        </w:rPr>
        <w:t>应当否决其报价。</w:t>
      </w:r>
    </w:p>
    <w:p w14:paraId="0A8969CE">
      <w:pPr>
        <w:spacing w:line="440" w:lineRule="exact"/>
        <w:ind w:firstLine="420"/>
        <w:rPr>
          <w:rFonts w:ascii="Times New Roman" w:hAnsi="Times New Roman" w:cs="Times New Roman"/>
          <w:color w:val="auto"/>
        </w:rPr>
      </w:pPr>
      <w:r>
        <w:rPr>
          <w:rFonts w:hint="eastAsia" w:ascii="Times New Roman" w:hAnsi="Times New Roman" w:cs="Times New Roman"/>
          <w:color w:val="auto"/>
        </w:rPr>
        <w:t>（1）</w:t>
      </w:r>
      <w:r>
        <w:rPr>
          <w:rFonts w:ascii="Times New Roman" w:hAnsi="Times New Roman" w:cs="Times New Roman"/>
          <w:color w:val="auto"/>
        </w:rPr>
        <w:t>报价有算术错误的，评审小组按以下原则对报价进行修正，修正的价格经供应商书面确认后具有约束力。供应商不接受修正价格的，评审小组应否决其报价。</w:t>
      </w:r>
    </w:p>
    <w:p w14:paraId="54ACB0A4">
      <w:pPr>
        <w:spacing w:line="440" w:lineRule="exact"/>
        <w:ind w:firstLine="420"/>
        <w:rPr>
          <w:rFonts w:ascii="Times New Roman" w:hAnsi="Times New Roman" w:cs="Times New Roman"/>
          <w:color w:val="auto"/>
        </w:rPr>
      </w:pPr>
      <w:r>
        <w:rPr>
          <w:rFonts w:ascii="Times New Roman" w:hAnsi="Times New Roman" w:cs="Times New Roman"/>
          <w:color w:val="auto"/>
        </w:rPr>
        <w:t>①响应文件中的大写金额与小写金额不一致的，以大写金额为准；</w:t>
      </w:r>
    </w:p>
    <w:p w14:paraId="00017540">
      <w:pPr>
        <w:spacing w:line="440" w:lineRule="exact"/>
        <w:ind w:firstLine="420"/>
        <w:rPr>
          <w:rFonts w:ascii="Times New Roman" w:hAnsi="Times New Roman" w:cs="Times New Roman"/>
          <w:color w:val="auto"/>
        </w:rPr>
      </w:pPr>
      <w:r>
        <w:rPr>
          <w:rFonts w:ascii="Times New Roman" w:hAnsi="Times New Roman" w:cs="Times New Roman"/>
          <w:color w:val="auto"/>
        </w:rPr>
        <w:t>②总价金额与依据单价计算出的结果不一致的，以单价金额为准修正总价，但单价金额小数点有明显错误的除外；</w:t>
      </w:r>
    </w:p>
    <w:p w14:paraId="52FBBA6B">
      <w:pPr>
        <w:spacing w:line="440" w:lineRule="exact"/>
        <w:ind w:firstLine="420"/>
        <w:rPr>
          <w:rFonts w:ascii="Times New Roman" w:hAnsi="Times New Roman" w:cs="Times New Roman"/>
          <w:color w:val="auto"/>
        </w:rPr>
      </w:pPr>
      <w:r>
        <w:rPr>
          <w:rFonts w:ascii="Times New Roman" w:hAnsi="Times New Roman" w:cs="Times New Roman"/>
          <w:color w:val="auto"/>
        </w:rPr>
        <w:t>③当单价与数量相乘不等于合价时，以单价计算为准，如果单价有明显的小数点位置差错，应以标出的合价为准，同时对单价予以修正；</w:t>
      </w:r>
    </w:p>
    <w:p w14:paraId="1E2B6E1F">
      <w:pPr>
        <w:spacing w:line="440" w:lineRule="exact"/>
        <w:ind w:firstLine="420"/>
        <w:rPr>
          <w:rFonts w:ascii="Times New Roman" w:hAnsi="Times New Roman" w:cs="Times New Roman"/>
          <w:color w:val="auto"/>
        </w:rPr>
      </w:pPr>
      <w:r>
        <w:rPr>
          <w:rFonts w:ascii="Times New Roman" w:hAnsi="Times New Roman" w:cs="Times New Roman"/>
          <w:color w:val="auto"/>
        </w:rPr>
        <w:t>④当各子目的合价累计不等于总价时，应以各子目合价累计数为准，修正总价。</w:t>
      </w:r>
    </w:p>
    <w:p w14:paraId="032C5509">
      <w:pPr>
        <w:spacing w:line="440" w:lineRule="exact"/>
        <w:ind w:firstLine="420"/>
        <w:rPr>
          <w:rFonts w:ascii="Times New Roman" w:hAnsi="Times New Roman" w:cs="Times New Roman"/>
          <w:color w:val="auto"/>
        </w:rPr>
      </w:pPr>
      <w:r>
        <w:rPr>
          <w:rFonts w:hint="eastAsia" w:ascii="Times New Roman" w:hAnsi="Times New Roman" w:cs="Times New Roman"/>
          <w:color w:val="auto"/>
        </w:rPr>
        <w:t>（2）报价</w:t>
      </w:r>
      <w:r>
        <w:rPr>
          <w:rFonts w:ascii="Times New Roman" w:hAnsi="Times New Roman" w:cs="Times New Roman"/>
          <w:color w:val="auto"/>
        </w:rPr>
        <w:t>清单中的报价有其他错误的，评审小组按以下原则对报价进行修正，修正的价格经供应商书面确认后具有约束力。供应商不接受修正价格的，评审小组应否决其报价。</w:t>
      </w:r>
    </w:p>
    <w:p w14:paraId="56C6EF78">
      <w:pPr>
        <w:spacing w:line="440" w:lineRule="exact"/>
        <w:ind w:firstLine="420"/>
        <w:rPr>
          <w:rFonts w:ascii="Times New Roman" w:hAnsi="Times New Roman" w:cs="Times New Roman"/>
          <w:color w:val="auto"/>
        </w:rPr>
      </w:pPr>
      <w:r>
        <w:rPr>
          <w:rFonts w:ascii="Times New Roman" w:hAnsi="Times New Roman" w:cs="Times New Roman"/>
          <w:color w:val="auto"/>
        </w:rPr>
        <w:t>①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14:paraId="28DDA717">
      <w:pPr>
        <w:spacing w:line="440" w:lineRule="exact"/>
        <w:ind w:firstLine="420"/>
        <w:rPr>
          <w:rFonts w:ascii="Times New Roman" w:hAnsi="Times New Roman" w:cs="Times New Roman"/>
          <w:color w:val="auto"/>
        </w:rPr>
      </w:pPr>
      <w:r>
        <w:rPr>
          <w:rFonts w:ascii="Times New Roman" w:hAnsi="Times New Roman" w:cs="Times New Roman"/>
          <w:color w:val="auto"/>
        </w:rPr>
        <w:t>②在采购人给定的清单中多报了某个子目的单价、合价或总额价，或所报单价、合价或总额价增加了报价范围，则从报价中扣除多报的子目报价或子目报价中增加了报价范围的部分报价。</w:t>
      </w:r>
    </w:p>
    <w:p w14:paraId="5A5FD553">
      <w:pPr>
        <w:spacing w:line="440" w:lineRule="exact"/>
        <w:ind w:firstLine="420"/>
        <w:rPr>
          <w:rFonts w:ascii="Times New Roman" w:hAnsi="Times New Roman" w:cs="Times New Roman"/>
          <w:color w:val="auto"/>
        </w:rPr>
      </w:pPr>
      <w:r>
        <w:rPr>
          <w:rFonts w:ascii="Times New Roman" w:hAnsi="Times New Roman" w:cs="Times New Roman"/>
          <w:color w:val="auto"/>
        </w:rPr>
        <w:t>③当单价与数量的乘积与合价（金额）虽然一致，但供应商修改了该子目的数量，则其合价按采购人给定的数量乘以供应商所报单价予以修正。</w:t>
      </w:r>
    </w:p>
    <w:p w14:paraId="2987C54B">
      <w:pPr>
        <w:spacing w:line="440" w:lineRule="exact"/>
        <w:ind w:firstLine="420"/>
        <w:rPr>
          <w:rFonts w:ascii="Times New Roman" w:hAnsi="Times New Roman" w:cs="Times New Roman"/>
          <w:color w:val="auto"/>
        </w:rPr>
      </w:pPr>
      <w:r>
        <w:rPr>
          <w:rFonts w:ascii="Times New Roman" w:hAnsi="Times New Roman" w:cs="Times New Roman"/>
          <w:color w:val="auto"/>
        </w:rPr>
        <w:t>④当各子目的合价累计不等于总价时，应以各子目合价累计数为准，修正总价。</w:t>
      </w:r>
    </w:p>
    <w:p w14:paraId="58A8968D">
      <w:pPr>
        <w:spacing w:line="440" w:lineRule="exact"/>
        <w:ind w:firstLine="420"/>
        <w:rPr>
          <w:rFonts w:ascii="Times New Roman" w:hAnsi="Times New Roman" w:cs="Times New Roman"/>
          <w:color w:val="auto"/>
        </w:rPr>
      </w:pPr>
      <w:r>
        <w:rPr>
          <w:rFonts w:ascii="Times New Roman" w:hAnsi="Times New Roman" w:cs="Times New Roman"/>
          <w:color w:val="auto"/>
        </w:rPr>
        <w:t>3.1.</w:t>
      </w:r>
      <w:r>
        <w:rPr>
          <w:rFonts w:hint="eastAsia" w:ascii="Times New Roman" w:hAnsi="Times New Roman" w:cs="Times New Roman"/>
          <w:color w:val="auto"/>
        </w:rPr>
        <w:t xml:space="preserve">4 </w:t>
      </w:r>
      <w:r>
        <w:rPr>
          <w:rFonts w:ascii="Times New Roman" w:hAnsi="Times New Roman" w:cs="Times New Roman"/>
          <w:color w:val="auto"/>
        </w:rPr>
        <w:t>修正后的最终报价若超过最高限价（如有），</w:t>
      </w:r>
      <w:r>
        <w:rPr>
          <w:rFonts w:hint="eastAsia" w:ascii="Times New Roman" w:hAnsi="Times New Roman" w:cs="Times New Roman"/>
          <w:color w:val="auto"/>
        </w:rPr>
        <w:t>评审小组</w:t>
      </w:r>
      <w:r>
        <w:rPr>
          <w:rFonts w:ascii="Times New Roman" w:hAnsi="Times New Roman" w:cs="Times New Roman"/>
          <w:color w:val="auto"/>
        </w:rPr>
        <w:t>应否决其报价。</w:t>
      </w:r>
    </w:p>
    <w:p w14:paraId="56A483ED">
      <w:pPr>
        <w:spacing w:line="440" w:lineRule="exact"/>
        <w:ind w:firstLine="420"/>
        <w:rPr>
          <w:color w:val="auto"/>
        </w:rPr>
      </w:pPr>
      <w:r>
        <w:rPr>
          <w:rFonts w:ascii="Times New Roman" w:hAnsi="Times New Roman" w:cs="Times New Roman"/>
          <w:color w:val="auto"/>
        </w:rPr>
        <w:t>3.1.</w:t>
      </w:r>
      <w:r>
        <w:rPr>
          <w:rFonts w:hint="eastAsia" w:ascii="Times New Roman" w:hAnsi="Times New Roman" w:cs="Times New Roman"/>
          <w:color w:val="auto"/>
        </w:rPr>
        <w:t>5</w:t>
      </w:r>
      <w:r>
        <w:rPr>
          <w:rFonts w:ascii="Times New Roman" w:hAnsi="Times New Roman" w:cs="Times New Roman"/>
          <w:color w:val="auto"/>
        </w:rPr>
        <w:t xml:space="preserve"> </w:t>
      </w:r>
      <w:r>
        <w:rPr>
          <w:rFonts w:hint="eastAsia" w:ascii="Times New Roman" w:hAnsi="Times New Roman" w:cs="Times New Roman"/>
          <w:color w:val="auto"/>
          <w:szCs w:val="21"/>
        </w:rPr>
        <w:t>修正后的</w:t>
      </w:r>
      <w:r>
        <w:rPr>
          <w:rFonts w:ascii="Times New Roman" w:hAnsi="Times New Roman" w:cs="Times New Roman"/>
          <w:color w:val="auto"/>
        </w:rPr>
        <w:t>最终报价参与评审价得分的计算</w:t>
      </w:r>
      <w:r>
        <w:rPr>
          <w:rFonts w:hint="eastAsia" w:ascii="Times New Roman" w:hAnsi="Times New Roman" w:cs="Times New Roman"/>
          <w:color w:val="auto"/>
        </w:rPr>
        <w:t>，并作为签订合同的依据</w:t>
      </w:r>
      <w:r>
        <w:rPr>
          <w:rFonts w:ascii="Times New Roman" w:hAnsi="Times New Roman" w:cs="Times New Roman"/>
          <w:color w:val="auto"/>
        </w:rPr>
        <w:t>。</w:t>
      </w:r>
    </w:p>
    <w:p w14:paraId="397B956C">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w:t>
      </w:r>
      <w:r>
        <w:rPr>
          <w:rFonts w:hint="eastAsia" w:ascii="Times New Roman" w:hAnsi="Times New Roman" w:eastAsia="黑体" w:cs="Times New Roman"/>
          <w:bCs/>
          <w:color w:val="auto"/>
          <w:sz w:val="24"/>
          <w:szCs w:val="32"/>
          <w:lang w:val="en-US" w:eastAsia="zh-CN"/>
        </w:rPr>
        <w:t>2</w:t>
      </w:r>
      <w:r>
        <w:rPr>
          <w:rFonts w:ascii="Times New Roman" w:hAnsi="Times New Roman" w:eastAsia="黑体" w:cs="Times New Roman"/>
          <w:bCs/>
          <w:color w:val="auto"/>
          <w:sz w:val="24"/>
          <w:szCs w:val="32"/>
        </w:rPr>
        <w:t xml:space="preserve"> </w:t>
      </w:r>
      <w:r>
        <w:rPr>
          <w:rFonts w:hint="eastAsia" w:ascii="Times New Roman" w:hAnsi="Times New Roman" w:eastAsia="黑体" w:cs="Times New Roman"/>
          <w:bCs/>
          <w:color w:val="auto"/>
          <w:sz w:val="24"/>
          <w:szCs w:val="32"/>
        </w:rPr>
        <w:t>否决响应文件</w:t>
      </w:r>
      <w:r>
        <w:rPr>
          <w:rFonts w:ascii="Times New Roman" w:hAnsi="Times New Roman" w:eastAsia="黑体" w:cs="Times New Roman"/>
          <w:bCs/>
          <w:color w:val="auto"/>
          <w:sz w:val="24"/>
          <w:szCs w:val="32"/>
        </w:rPr>
        <w:t>的其他情形</w:t>
      </w:r>
    </w:p>
    <w:p w14:paraId="55201C49">
      <w:pPr>
        <w:spacing w:line="440" w:lineRule="exact"/>
        <w:ind w:firstLine="420"/>
        <w:rPr>
          <w:rFonts w:ascii="Times New Roman" w:hAnsi="Times New Roman" w:cs="Times New Roman"/>
          <w:color w:val="auto"/>
        </w:rPr>
      </w:pPr>
      <w:r>
        <w:rPr>
          <w:rFonts w:hint="eastAsia" w:ascii="Times New Roman" w:hAnsi="Times New Roman" w:cs="Times New Roman"/>
          <w:color w:val="auto"/>
        </w:rPr>
        <w:t>评审小组</w:t>
      </w:r>
      <w:r>
        <w:rPr>
          <w:rFonts w:ascii="Times New Roman" w:hAnsi="Times New Roman" w:cs="Times New Roman"/>
          <w:color w:val="auto"/>
        </w:rPr>
        <w:t>应对在评审过程中发现供应商存在串通报价、弄虚作假、行贿等违法行为的，</w:t>
      </w:r>
      <w:r>
        <w:rPr>
          <w:rFonts w:hint="eastAsia" w:ascii="Times New Roman" w:hAnsi="Times New Roman" w:cs="Times New Roman"/>
          <w:color w:val="auto"/>
        </w:rPr>
        <w:t>评审小组</w:t>
      </w:r>
      <w:r>
        <w:rPr>
          <w:rFonts w:ascii="Times New Roman" w:hAnsi="Times New Roman" w:cs="Times New Roman"/>
          <w:color w:val="auto"/>
        </w:rPr>
        <w:t>应否决其</w:t>
      </w:r>
      <w:r>
        <w:rPr>
          <w:rFonts w:hint="eastAsia" w:ascii="Times New Roman" w:hAnsi="Times New Roman" w:cs="Times New Roman"/>
          <w:color w:val="auto"/>
        </w:rPr>
        <w:t>响应文件</w:t>
      </w:r>
      <w:r>
        <w:rPr>
          <w:rFonts w:ascii="Times New Roman" w:hAnsi="Times New Roman" w:cs="Times New Roman"/>
          <w:color w:val="auto"/>
        </w:rPr>
        <w:t>。</w:t>
      </w:r>
    </w:p>
    <w:p w14:paraId="4BEA045F">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w:t>
      </w:r>
      <w:r>
        <w:rPr>
          <w:rFonts w:hint="eastAsia" w:ascii="Times New Roman" w:hAnsi="Times New Roman" w:eastAsia="黑体" w:cs="Times New Roman"/>
          <w:bCs/>
          <w:color w:val="auto"/>
          <w:sz w:val="24"/>
          <w:szCs w:val="32"/>
          <w:lang w:val="en-US" w:eastAsia="zh-CN"/>
        </w:rPr>
        <w:t>3</w:t>
      </w:r>
      <w:r>
        <w:rPr>
          <w:rFonts w:ascii="Times New Roman" w:hAnsi="Times New Roman" w:eastAsia="黑体" w:cs="Times New Roman"/>
          <w:bCs/>
          <w:color w:val="auto"/>
          <w:sz w:val="24"/>
          <w:szCs w:val="32"/>
        </w:rPr>
        <w:t xml:space="preserve"> 响应文件的澄清</w:t>
      </w:r>
    </w:p>
    <w:p w14:paraId="6BB680E8">
      <w:pPr>
        <w:spacing w:line="440" w:lineRule="exact"/>
        <w:ind w:firstLine="420"/>
        <w:rPr>
          <w:rFonts w:ascii="Times New Roman" w:hAnsi="Times New Roman" w:cs="Times New Roman"/>
          <w:color w:val="auto"/>
        </w:rPr>
      </w:pPr>
      <w:r>
        <w:rPr>
          <w:rFonts w:ascii="Times New Roman" w:hAnsi="Times New Roman" w:cs="Times New Roman"/>
          <w:color w:val="auto"/>
        </w:rPr>
        <w:t>3.</w:t>
      </w:r>
      <w:r>
        <w:rPr>
          <w:rFonts w:hint="eastAsia" w:ascii="Times New Roman" w:hAnsi="Times New Roman" w:cs="Times New Roman"/>
          <w:color w:val="auto"/>
          <w:lang w:val="en-US" w:eastAsia="zh-CN"/>
        </w:rPr>
        <w:t>3</w:t>
      </w:r>
      <w:r>
        <w:rPr>
          <w:rFonts w:ascii="Times New Roman" w:hAnsi="Times New Roman" w:cs="Times New Roman"/>
          <w:color w:val="auto"/>
        </w:rPr>
        <w:t>.1 在评审过程中，</w:t>
      </w:r>
      <w:r>
        <w:rPr>
          <w:rFonts w:hint="eastAsia" w:ascii="Times New Roman" w:hAnsi="Times New Roman" w:cs="Times New Roman"/>
          <w:color w:val="auto"/>
        </w:rPr>
        <w:t>评审小组</w:t>
      </w:r>
      <w:r>
        <w:rPr>
          <w:rFonts w:ascii="Times New Roman" w:hAnsi="Times New Roman" w:cs="Times New Roman"/>
          <w:color w:val="auto"/>
        </w:rPr>
        <w:t>可以书面形式要求供应商对响应文件中含义不明确、对同类问题表述不一致或者有明显文字</w:t>
      </w:r>
      <w:r>
        <w:rPr>
          <w:rFonts w:hint="eastAsia" w:ascii="Times New Roman" w:hAnsi="Times New Roman" w:cs="Times New Roman"/>
          <w:color w:val="auto"/>
        </w:rPr>
        <w:t>错误</w:t>
      </w:r>
      <w:r>
        <w:rPr>
          <w:rFonts w:ascii="Times New Roman" w:hAnsi="Times New Roman" w:cs="Times New Roman"/>
          <w:color w:val="auto"/>
        </w:rPr>
        <w:t>的内容做必要的澄清。</w:t>
      </w:r>
      <w:r>
        <w:rPr>
          <w:rFonts w:hint="eastAsia" w:ascii="Times New Roman" w:hAnsi="Times New Roman" w:cs="Times New Roman"/>
          <w:color w:val="auto"/>
        </w:rPr>
        <w:t>评审小组</w:t>
      </w:r>
      <w:r>
        <w:rPr>
          <w:rFonts w:ascii="Times New Roman" w:hAnsi="Times New Roman" w:cs="Times New Roman"/>
          <w:color w:val="auto"/>
        </w:rPr>
        <w:t>不接受供应商主动提出的澄清。</w:t>
      </w:r>
    </w:p>
    <w:p w14:paraId="537C40A9">
      <w:pPr>
        <w:spacing w:line="440" w:lineRule="exact"/>
        <w:ind w:firstLine="420"/>
        <w:rPr>
          <w:rFonts w:ascii="Times New Roman" w:hAnsi="Times New Roman" w:cs="Times New Roman"/>
          <w:strike/>
          <w:color w:val="auto"/>
        </w:rPr>
      </w:pPr>
      <w:r>
        <w:rPr>
          <w:rFonts w:ascii="Times New Roman" w:hAnsi="Times New Roman" w:cs="Times New Roman"/>
          <w:color w:val="auto"/>
        </w:rPr>
        <w:t>3.</w:t>
      </w:r>
      <w:r>
        <w:rPr>
          <w:rFonts w:hint="eastAsia" w:ascii="Times New Roman" w:hAnsi="Times New Roman" w:cs="Times New Roman"/>
          <w:color w:val="auto"/>
          <w:lang w:val="en-US" w:eastAsia="zh-CN"/>
        </w:rPr>
        <w:t>3</w:t>
      </w:r>
      <w:r>
        <w:rPr>
          <w:rFonts w:ascii="Times New Roman" w:hAnsi="Times New Roman" w:cs="Times New Roman"/>
          <w:color w:val="auto"/>
        </w:rPr>
        <w:t>.2 澄清不得超出响应文件的范围且不得改变响应文件的实质性内容，并构成响应文件的组成部分。</w:t>
      </w:r>
    </w:p>
    <w:p w14:paraId="60C98150">
      <w:pPr>
        <w:keepNext/>
        <w:keepLines/>
        <w:spacing w:before="120" w:after="120"/>
        <w:outlineLvl w:val="2"/>
        <w:rPr>
          <w:rFonts w:ascii="Times New Roman" w:hAnsi="Times New Roman" w:eastAsia="黑体" w:cs="Times New Roman"/>
          <w:bCs/>
          <w:color w:val="auto"/>
          <w:sz w:val="24"/>
          <w:szCs w:val="32"/>
          <w:highlight w:val="yellow"/>
        </w:rPr>
      </w:pPr>
      <w:r>
        <w:rPr>
          <w:rFonts w:ascii="Times New Roman" w:hAnsi="Times New Roman" w:eastAsia="黑体" w:cs="Times New Roman"/>
          <w:bCs/>
          <w:color w:val="auto"/>
          <w:sz w:val="24"/>
          <w:szCs w:val="32"/>
          <w:highlight w:val="yellow"/>
        </w:rPr>
        <w:t>3.</w:t>
      </w:r>
      <w:r>
        <w:rPr>
          <w:rFonts w:hint="eastAsia" w:ascii="Times New Roman" w:hAnsi="Times New Roman" w:eastAsia="黑体" w:cs="Times New Roman"/>
          <w:bCs/>
          <w:color w:val="auto"/>
          <w:sz w:val="24"/>
          <w:szCs w:val="32"/>
          <w:highlight w:val="yellow"/>
          <w:lang w:val="en-US" w:eastAsia="zh-CN"/>
        </w:rPr>
        <w:t>4</w:t>
      </w:r>
      <w:r>
        <w:rPr>
          <w:rFonts w:ascii="Times New Roman" w:hAnsi="Times New Roman" w:eastAsia="黑体" w:cs="Times New Roman"/>
          <w:bCs/>
          <w:color w:val="auto"/>
          <w:sz w:val="24"/>
          <w:szCs w:val="32"/>
          <w:highlight w:val="yellow"/>
        </w:rPr>
        <w:t xml:space="preserve"> 评审结果</w:t>
      </w:r>
    </w:p>
    <w:p w14:paraId="1C481DD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评审小组完成评审后，应当向采购人提交评审报告。评审报告应当如实记载以下内容：</w:t>
      </w:r>
    </w:p>
    <w:p w14:paraId="3A8539E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（一）采购项目基本情况</w:t>
      </w:r>
    </w:p>
    <w:p w14:paraId="3CC1F14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（二）采购过程回顾</w:t>
      </w:r>
    </w:p>
    <w:p w14:paraId="51F01AA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（三）评审小组成员名单</w:t>
      </w:r>
    </w:p>
    <w:p w14:paraId="7833215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（四）询比评审工作</w:t>
      </w:r>
    </w:p>
    <w:p w14:paraId="3713D256">
      <w:pPr>
        <w:spacing w:line="440" w:lineRule="exact"/>
        <w:ind w:firstLine="420"/>
        <w:rPr>
          <w:rFonts w:hint="eastAsia" w:ascii="Times New Roman" w:hAnsi="Times New Roman"/>
          <w:color w:val="auto"/>
          <w:sz w:val="21"/>
          <w:szCs w:val="24"/>
          <w:highlight w:val="none"/>
        </w:rPr>
      </w:pPr>
      <w:r>
        <w:rPr>
          <w:rFonts w:hint="default" w:ascii="Times New Roman" w:hAnsi="Times New Roman" w:eastAsia="Times New Roman"/>
          <w:color w:val="auto"/>
          <w:sz w:val="21"/>
          <w:szCs w:val="24"/>
          <w:highlight w:val="none"/>
        </w:rPr>
        <w:t>1</w:t>
      </w:r>
      <w:r>
        <w:rPr>
          <w:rFonts w:hint="eastAsia" w:ascii="Times New Roman" w:hAnsi="Times New Roman"/>
          <w:color w:val="auto"/>
          <w:sz w:val="21"/>
          <w:szCs w:val="24"/>
          <w:highlight w:val="none"/>
        </w:rPr>
        <w:t>、评审办法（最低价法）</w:t>
      </w:r>
    </w:p>
    <w:p w14:paraId="5FF698C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w:t>
      </w:r>
      <w:r>
        <w:rPr>
          <w:rFonts w:hint="eastAsia" w:ascii="Times New Roman" w:hAnsi="Times New Roman"/>
          <w:color w:val="auto"/>
          <w:sz w:val="21"/>
          <w:szCs w:val="24"/>
          <w:highlight w:val="none"/>
        </w:rPr>
        <w:t>、初步评审情况（资格审查、形式性审查、响应性审查）</w:t>
      </w:r>
    </w:p>
    <w:p w14:paraId="3BB10D46">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w:t>
      </w:r>
      <w:r>
        <w:rPr>
          <w:rFonts w:hint="eastAsia" w:ascii="Times New Roman" w:hAnsi="Times New Roman"/>
          <w:color w:val="auto"/>
          <w:sz w:val="21"/>
          <w:szCs w:val="24"/>
          <w:highlight w:val="none"/>
        </w:rPr>
        <w:t>、详细评审情况</w:t>
      </w:r>
    </w:p>
    <w:p w14:paraId="241F35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4</w:t>
      </w:r>
      <w:r>
        <w:rPr>
          <w:rFonts w:hint="eastAsia" w:ascii="Times New Roman" w:hAnsi="Times New Roman"/>
          <w:color w:val="auto"/>
          <w:sz w:val="21"/>
          <w:szCs w:val="24"/>
          <w:highlight w:val="none"/>
        </w:rPr>
        <w:t>、否决的供应商名单以及否决理由（如有）</w:t>
      </w:r>
    </w:p>
    <w:p w14:paraId="2236F15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5</w:t>
      </w:r>
      <w:r>
        <w:rPr>
          <w:rFonts w:hint="eastAsia" w:ascii="Times New Roman" w:hAnsi="Times New Roman"/>
          <w:color w:val="auto"/>
          <w:sz w:val="21"/>
          <w:szCs w:val="24"/>
          <w:highlight w:val="none"/>
        </w:rPr>
        <w:t>、推荐候选供应商排序</w:t>
      </w:r>
    </w:p>
    <w:p w14:paraId="0A7E2BA8">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w:t>（五）</w:t>
      </w:r>
      <w:r>
        <w:rPr>
          <w:rFonts w:hint="eastAsia" w:ascii="Times New Roman" w:hAnsi="Times New Roman"/>
          <w:color w:val="auto"/>
          <w:sz w:val="21"/>
          <w:szCs w:val="24"/>
          <w:highlight w:val="none"/>
          <w:lang w:val="en-US" w:eastAsia="zh-CN"/>
        </w:rPr>
        <w:t>评审结果</w:t>
      </w:r>
    </w:p>
    <w:p w14:paraId="4B7EB3A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（六）推荐成交候选人</w:t>
      </w:r>
    </w:p>
    <w:p w14:paraId="7AC20A5C">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w:t>
      </w:r>
      <w:r>
        <w:rPr>
          <w:rFonts w:hint="eastAsia" w:ascii="Times New Roman" w:hAnsi="Times New Roman"/>
          <w:color w:val="auto"/>
          <w:sz w:val="21"/>
          <w:szCs w:val="24"/>
          <w:highlight w:val="none"/>
          <w:lang w:val="en-US" w:eastAsia="zh-CN"/>
        </w:rPr>
        <w:t>七</w:t>
      </w:r>
      <w:r>
        <w:rPr>
          <w:rFonts w:hint="eastAsia" w:ascii="Times New Roman" w:hAnsi="Times New Roman"/>
          <w:color w:val="auto"/>
          <w:sz w:val="21"/>
          <w:szCs w:val="24"/>
          <w:highlight w:val="none"/>
        </w:rPr>
        <w:t>）评审附表</w:t>
      </w:r>
    </w:p>
    <w:p w14:paraId="387E1AED">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mc:AlternateContent>
          <mc:Choice Requires="wps">
            <w:drawing>
              <wp:anchor distT="0" distB="0" distL="114300" distR="114300" simplePos="0" relativeHeight="251661312" behindDoc="0" locked="0" layoutInCell="1" allowOverlap="1">
                <wp:simplePos x="0" y="0"/>
                <wp:positionH relativeFrom="column">
                  <wp:posOffset>-441325</wp:posOffset>
                </wp:positionH>
                <wp:positionV relativeFrom="paragraph">
                  <wp:posOffset>5872480</wp:posOffset>
                </wp:positionV>
                <wp:extent cx="6309995" cy="476250"/>
                <wp:effectExtent l="0" t="0" r="14605" b="0"/>
                <wp:wrapNone/>
                <wp:docPr id="10" name="文本框 10"/>
                <wp:cNvGraphicFramePr/>
                <a:graphic xmlns:a="http://schemas.openxmlformats.org/drawingml/2006/main">
                  <a:graphicData uri="http://schemas.microsoft.com/office/word/2010/wordprocessingShape">
                    <wps:wsp>
                      <wps:cNvSpPr txBox="1"/>
                      <wps:spPr>
                        <a:xfrm>
                          <a:off x="0" y="0"/>
                          <a:ext cx="6309995" cy="476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75pt;margin-top:462.4pt;height:37.5pt;width:496.85pt;z-index:251661312;mso-width-relative:page;mso-height-relative:page;" fillcolor="#FFFFFF [3201]" filled="t" stroked="f" coordsize="21600,21600" o:gfxdata="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PrgPaXWAAAACwEA&#10;AA8AAAAAAAAAAQAgAAAAIgAAAGRycy9kb3ducmV2LnhtbFBLAQIUABQAAAAIAIdO4kCpZHYVVQIA&#10;AJ8EAAAOAAAAAAAAAAEAIAAAACUBAABkcnMvZTJvRG9jLnhtbFBLBQYAAAAABgAGAFkBAADsBQAA&#10;AAA=&#10;">
                <v:fill on="t" focussize="0,0"/>
                <v:stroke on="f" weight="0.5pt"/>
                <v:imagedata o:title=""/>
                <o:lock v:ext="edit" aspectratio="f"/>
                <v:textbo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v:textbox>
              </v:shape>
            </w:pict>
          </mc:Fallback>
        </mc:AlternateContent>
      </w:r>
      <w:r>
        <w:rPr>
          <w:rFonts w:hint="eastAsia" w:ascii="Times New Roman" w:hAnsi="Times New Roman"/>
          <w:color w:val="auto"/>
          <w:sz w:val="21"/>
          <w:szCs w:val="24"/>
          <w:highlight w:val="none"/>
          <w:lang w:val="en-US" w:eastAsia="zh-CN"/>
        </w:rPr>
        <w:t>1、响应登记表</w:t>
      </w:r>
    </w:p>
    <w:p w14:paraId="63F664B4">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2、评审人员抽取记录表</w:t>
      </w:r>
    </w:p>
    <w:p w14:paraId="392DB6E0">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3、报价记录表</w:t>
      </w:r>
    </w:p>
    <w:p w14:paraId="312A5215">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4、评审专家签到表</w:t>
      </w:r>
    </w:p>
    <w:p w14:paraId="01A026F2">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5、形式、资格、响应性评审标准表</w:t>
      </w:r>
    </w:p>
    <w:p w14:paraId="07A450A9">
      <w:pPr>
        <w:spacing w:line="440" w:lineRule="exact"/>
        <w:ind w:firstLine="420"/>
        <w:rPr>
          <w:rFonts w:hint="eastAsia" w:ascii="Times New Roman" w:hAnsi="Times New Roman"/>
          <w:color w:val="auto"/>
          <w:sz w:val="21"/>
          <w:szCs w:val="24"/>
          <w:highlight w:val="none"/>
          <w:lang w:val="en-US" w:eastAsia="zh-CN"/>
        </w:rPr>
      </w:pPr>
    </w:p>
    <w:p w14:paraId="0C50C6C5">
      <w:pPr>
        <w:spacing w:line="440" w:lineRule="exact"/>
        <w:ind w:firstLine="420"/>
        <w:rPr>
          <w:rFonts w:hint="eastAsia" w:ascii="Times New Roman" w:hAnsi="Times New Roman"/>
          <w:color w:val="auto"/>
          <w:sz w:val="21"/>
          <w:szCs w:val="24"/>
          <w:highlight w:val="none"/>
          <w:lang w:val="en-US" w:eastAsia="zh-CN"/>
        </w:rPr>
      </w:pPr>
    </w:p>
    <w:p w14:paraId="723403C2">
      <w:pPr>
        <w:spacing w:line="440" w:lineRule="exact"/>
        <w:ind w:firstLine="420"/>
        <w:rPr>
          <w:rFonts w:hint="eastAsia" w:ascii="Times New Roman" w:hAnsi="Times New Roman"/>
          <w:color w:val="auto"/>
          <w:sz w:val="21"/>
          <w:szCs w:val="24"/>
          <w:highlight w:val="none"/>
          <w:lang w:val="en-US" w:eastAsia="zh-CN"/>
        </w:rPr>
      </w:pPr>
    </w:p>
    <w:p w14:paraId="41D4F1FD">
      <w:pPr>
        <w:rPr>
          <w:color w:val="auto"/>
        </w:rPr>
      </w:pPr>
    </w:p>
    <w:p w14:paraId="265E22DC">
      <w:pPr>
        <w:pStyle w:val="7"/>
        <w:rPr>
          <w:color w:val="auto"/>
        </w:rPr>
      </w:pPr>
    </w:p>
    <w:p w14:paraId="738C659C">
      <w:pPr>
        <w:rPr>
          <w:color w:val="auto"/>
        </w:rPr>
      </w:pPr>
    </w:p>
    <w:p w14:paraId="540C4EF0">
      <w:pPr>
        <w:pStyle w:val="7"/>
        <w:rPr>
          <w:color w:val="auto"/>
        </w:rPr>
      </w:pPr>
    </w:p>
    <w:p w14:paraId="3F71DA0F">
      <w:pPr>
        <w:rPr>
          <w:color w:val="auto"/>
        </w:rPr>
      </w:pPr>
    </w:p>
    <w:p w14:paraId="2907A364">
      <w:pPr>
        <w:pStyle w:val="7"/>
        <w:rPr>
          <w:color w:val="auto"/>
        </w:rPr>
      </w:pPr>
    </w:p>
    <w:p w14:paraId="4CD70DF7">
      <w:pPr>
        <w:rPr>
          <w:color w:val="auto"/>
        </w:rPr>
      </w:pPr>
    </w:p>
    <w:p w14:paraId="18BFBEFC">
      <w:pPr>
        <w:pStyle w:val="7"/>
        <w:rPr>
          <w:color w:val="auto"/>
        </w:rPr>
      </w:pPr>
    </w:p>
    <w:p w14:paraId="5501AAFE">
      <w:pPr>
        <w:rPr>
          <w:color w:val="auto"/>
        </w:rPr>
      </w:pPr>
    </w:p>
    <w:p w14:paraId="30C104D4">
      <w:pPr>
        <w:pStyle w:val="7"/>
        <w:rPr>
          <w:color w:val="auto"/>
        </w:rPr>
      </w:pPr>
    </w:p>
    <w:p w14:paraId="66E95CF5">
      <w:pPr>
        <w:rPr>
          <w:color w:val="auto"/>
        </w:rPr>
      </w:pPr>
    </w:p>
    <w:p w14:paraId="7F8D410A">
      <w:pPr>
        <w:pStyle w:val="7"/>
        <w:rPr>
          <w:color w:val="auto"/>
        </w:rPr>
      </w:pPr>
    </w:p>
    <w:p w14:paraId="4776C596">
      <w:pPr>
        <w:rPr>
          <w:color w:val="auto"/>
        </w:rPr>
      </w:pPr>
    </w:p>
    <w:p w14:paraId="5B2CC679">
      <w:pPr>
        <w:pStyle w:val="7"/>
        <w:rPr>
          <w:color w:val="auto"/>
        </w:rPr>
      </w:pPr>
    </w:p>
    <w:p w14:paraId="281BE30B">
      <w:pPr>
        <w:rPr>
          <w:color w:val="auto"/>
        </w:rPr>
      </w:pPr>
    </w:p>
    <w:p w14:paraId="2657CA5A">
      <w:pPr>
        <w:pStyle w:val="5"/>
        <w:numPr>
          <w:ilvl w:val="0"/>
          <w:numId w:val="0"/>
        </w:numPr>
        <w:spacing w:before="312" w:after="312"/>
        <w:rPr>
          <w:rFonts w:ascii="Times New Roman" w:hAnsi="Times New Roman" w:eastAsia="宋体" w:cs="Times New Roman"/>
          <w:color w:val="auto"/>
          <w:highlight w:val="none"/>
        </w:rPr>
      </w:pPr>
      <w:bookmarkStart w:id="60" w:name="_Toc19665"/>
      <w:r>
        <w:rPr>
          <w:rFonts w:hint="eastAsia" w:ascii="Times New Roman" w:hAnsi="Times New Roman" w:eastAsia="宋体" w:cs="Times New Roman"/>
          <w:color w:val="auto"/>
          <w:highlight w:val="none"/>
        </w:rPr>
        <w:t xml:space="preserve">第四章 </w:t>
      </w:r>
      <w:r>
        <w:rPr>
          <w:rFonts w:ascii="Times New Roman" w:hAnsi="Times New Roman" w:eastAsia="宋体" w:cs="Times New Roman"/>
          <w:color w:val="auto"/>
          <w:highlight w:val="none"/>
        </w:rPr>
        <w:t>合同内容</w:t>
      </w:r>
      <w:bookmarkEnd w:id="60"/>
    </w:p>
    <w:p w14:paraId="68D3E552">
      <w:pPr>
        <w:pStyle w:val="7"/>
        <w:rPr>
          <w:color w:val="auto"/>
        </w:rPr>
      </w:pPr>
    </w:p>
    <w:p w14:paraId="510F048E">
      <w:pPr>
        <w:rPr>
          <w:color w:val="auto"/>
        </w:rPr>
      </w:pPr>
    </w:p>
    <w:p w14:paraId="3C9D9DF2">
      <w:pPr>
        <w:pStyle w:val="7"/>
        <w:rPr>
          <w:color w:val="auto"/>
        </w:rPr>
      </w:pPr>
    </w:p>
    <w:p w14:paraId="7E1B0E56">
      <w:pPr>
        <w:rPr>
          <w:color w:val="auto"/>
        </w:rPr>
      </w:pPr>
    </w:p>
    <w:p w14:paraId="0EF5D175">
      <w:pPr>
        <w:pStyle w:val="7"/>
        <w:rPr>
          <w:color w:val="auto"/>
        </w:rPr>
      </w:pPr>
    </w:p>
    <w:p w14:paraId="4E6763EF">
      <w:pPr>
        <w:rPr>
          <w:color w:val="auto"/>
        </w:rPr>
      </w:pPr>
    </w:p>
    <w:p w14:paraId="4E65F5DE">
      <w:pPr>
        <w:rPr>
          <w:color w:val="auto"/>
        </w:rPr>
      </w:pPr>
    </w:p>
    <w:p w14:paraId="51448D47">
      <w:pPr>
        <w:rPr>
          <w:color w:val="auto"/>
        </w:rPr>
      </w:pPr>
    </w:p>
    <w:p w14:paraId="7CB9B4E1">
      <w:pPr>
        <w:rPr>
          <w:color w:val="auto"/>
        </w:rPr>
      </w:pPr>
    </w:p>
    <w:p w14:paraId="7519CDFA">
      <w:pPr>
        <w:rPr>
          <w:color w:val="auto"/>
        </w:rPr>
      </w:pPr>
    </w:p>
    <w:p w14:paraId="7A1D5EEF">
      <w:pPr>
        <w:rPr>
          <w:color w:val="auto"/>
        </w:rPr>
      </w:pPr>
    </w:p>
    <w:p w14:paraId="52F752C7">
      <w:pPr>
        <w:rPr>
          <w:color w:val="auto"/>
        </w:rPr>
      </w:pPr>
    </w:p>
    <w:p w14:paraId="26C390D9">
      <w:pPr>
        <w:rPr>
          <w:color w:val="auto"/>
        </w:rPr>
      </w:pPr>
    </w:p>
    <w:p w14:paraId="6E647240">
      <w:pPr>
        <w:rPr>
          <w:color w:val="auto"/>
        </w:rPr>
      </w:pPr>
    </w:p>
    <w:p w14:paraId="5F7F7507">
      <w:pPr>
        <w:rPr>
          <w:color w:val="auto"/>
        </w:rPr>
      </w:pPr>
    </w:p>
    <w:p w14:paraId="6D44011C">
      <w:pPr>
        <w:rPr>
          <w:color w:val="auto"/>
        </w:rPr>
      </w:pPr>
    </w:p>
    <w:p w14:paraId="1E188213">
      <w:pPr>
        <w:rPr>
          <w:color w:val="auto"/>
        </w:rPr>
      </w:pPr>
    </w:p>
    <w:p w14:paraId="704F8250">
      <w:pPr>
        <w:rPr>
          <w:color w:val="auto"/>
        </w:rPr>
      </w:pPr>
    </w:p>
    <w:p w14:paraId="39771E5E">
      <w:pPr>
        <w:rPr>
          <w:color w:val="auto"/>
        </w:rPr>
      </w:pPr>
    </w:p>
    <w:p w14:paraId="3659AD21">
      <w:pPr>
        <w:rPr>
          <w:color w:val="auto"/>
        </w:rPr>
      </w:pPr>
    </w:p>
    <w:p w14:paraId="1AC22B50">
      <w:pPr>
        <w:rPr>
          <w:color w:val="auto"/>
        </w:rPr>
      </w:pPr>
    </w:p>
    <w:p w14:paraId="703ED4BA">
      <w:pPr>
        <w:rPr>
          <w:color w:val="auto"/>
        </w:rPr>
      </w:pPr>
    </w:p>
    <w:p w14:paraId="3DE4C5E7">
      <w:pPr>
        <w:rPr>
          <w:color w:val="auto"/>
        </w:rPr>
      </w:pPr>
    </w:p>
    <w:p w14:paraId="646988D0">
      <w:pPr>
        <w:rPr>
          <w:color w:val="auto"/>
        </w:rPr>
      </w:pPr>
    </w:p>
    <w:p w14:paraId="0648CCFA">
      <w:pPr>
        <w:rPr>
          <w:color w:val="auto"/>
        </w:rPr>
      </w:pPr>
    </w:p>
    <w:p w14:paraId="63ABC738">
      <w:pPr>
        <w:rPr>
          <w:color w:val="auto"/>
        </w:rPr>
      </w:pPr>
    </w:p>
    <w:p w14:paraId="4903AC7B">
      <w:pPr>
        <w:rPr>
          <w:color w:val="auto"/>
        </w:rPr>
      </w:pPr>
    </w:p>
    <w:p w14:paraId="3D53F3DA">
      <w:pPr>
        <w:rPr>
          <w:color w:val="auto"/>
        </w:rPr>
      </w:pPr>
    </w:p>
    <w:p w14:paraId="556BEC52">
      <w:pPr>
        <w:rPr>
          <w:color w:val="auto"/>
        </w:rPr>
      </w:pPr>
    </w:p>
    <w:p w14:paraId="046A7A7D">
      <w:pPr>
        <w:pStyle w:val="7"/>
        <w:rPr>
          <w:color w:val="auto"/>
        </w:rPr>
      </w:pPr>
    </w:p>
    <w:p w14:paraId="5A5ABDF5">
      <w:pPr>
        <w:rPr>
          <w:color w:val="auto"/>
        </w:rPr>
      </w:pPr>
    </w:p>
    <w:p w14:paraId="5748B614">
      <w:pPr>
        <w:pStyle w:val="7"/>
        <w:rPr>
          <w:color w:val="auto"/>
        </w:rPr>
      </w:pPr>
    </w:p>
    <w:p w14:paraId="6AD5040E">
      <w:pPr>
        <w:rPr>
          <w:color w:val="auto"/>
        </w:rPr>
      </w:pPr>
    </w:p>
    <w:p w14:paraId="146204A8">
      <w:pPr>
        <w:rPr>
          <w:color w:val="auto"/>
        </w:rPr>
      </w:pPr>
    </w:p>
    <w:p w14:paraId="63DAC813">
      <w:pPr>
        <w:keepNext w:val="0"/>
        <w:keepLines w:val="0"/>
        <w:pageBreakBefore w:val="0"/>
        <w:kinsoku/>
        <w:overflowPunct/>
        <w:autoSpaceDE/>
        <w:autoSpaceDN/>
        <w:bidi w:val="0"/>
        <w:adjustRightInd/>
        <w:snapToGrid/>
        <w:spacing w:line="560" w:lineRule="exact"/>
        <w:jc w:val="center"/>
        <w:rPr>
          <w:rFonts w:hint="eastAsia" w:ascii="宋体" w:hAnsi="宋体" w:eastAsia="宋体" w:cs="宋体"/>
          <w:bCs/>
          <w:color w:val="auto"/>
          <w:sz w:val="44"/>
          <w:szCs w:val="44"/>
          <w:highlight w:val="none"/>
          <w:lang w:eastAsia="zh-CN"/>
        </w:rPr>
      </w:pPr>
      <w:permStart w:id="0" w:edGrp="everyone"/>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r>
        <w:rPr>
          <w:rFonts w:hint="eastAsia" w:ascii="方正小标宋简体" w:hAnsi="方正小标宋简体" w:eastAsia="方正小标宋简体" w:cs="方正小标宋简体"/>
          <w:bCs/>
          <w:color w:val="auto"/>
          <w:sz w:val="44"/>
          <w:szCs w:val="44"/>
          <w:highlight w:val="none"/>
          <w:u w:val="none"/>
          <w:lang w:val="en-US" w:eastAsia="zh-CN"/>
        </w:rPr>
        <w:t>项目</w:t>
      </w:r>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permEnd w:id="0"/>
      <w:r>
        <w:rPr>
          <w:rFonts w:hint="eastAsia" w:ascii="方正小标宋简体" w:hAnsi="方正小标宋简体" w:eastAsia="方正小标宋简体" w:cs="方正小标宋简体"/>
          <w:bCs/>
          <w:color w:val="auto"/>
          <w:sz w:val="44"/>
          <w:szCs w:val="44"/>
          <w:highlight w:val="none"/>
          <w:u w:val="none"/>
          <w:lang w:val="en-US" w:eastAsia="zh-CN"/>
        </w:rPr>
        <w:t>采购</w:t>
      </w:r>
      <w:r>
        <w:rPr>
          <w:rFonts w:hint="eastAsia" w:ascii="方正小标宋简体" w:hAnsi="方正小标宋简体" w:eastAsia="方正小标宋简体" w:cs="方正小标宋简体"/>
          <w:bCs/>
          <w:color w:val="auto"/>
          <w:sz w:val="44"/>
          <w:szCs w:val="44"/>
          <w:highlight w:val="none"/>
          <w:lang w:val="en-US" w:eastAsia="zh-CN"/>
        </w:rPr>
        <w:t>及安装</w:t>
      </w:r>
      <w:r>
        <w:rPr>
          <w:rFonts w:hint="eastAsia" w:ascii="方正小标宋简体" w:hAnsi="方正小标宋简体" w:eastAsia="方正小标宋简体" w:cs="方正小标宋简体"/>
          <w:bCs/>
          <w:color w:val="auto"/>
          <w:sz w:val="44"/>
          <w:szCs w:val="44"/>
          <w:highlight w:val="none"/>
          <w:lang w:eastAsia="zh-CN"/>
        </w:rPr>
        <w:t>合同</w:t>
      </w:r>
    </w:p>
    <w:p w14:paraId="3698B4F3">
      <w:pPr>
        <w:keepNext w:val="0"/>
        <w:keepLines w:val="0"/>
        <w:pageBreakBefore w:val="0"/>
        <w:kinsoku/>
        <w:overflowPunct/>
        <w:autoSpaceDE/>
        <w:autoSpaceDN/>
        <w:bidi w:val="0"/>
        <w:adjustRightInd/>
        <w:snapToGrid/>
        <w:spacing w:line="560" w:lineRule="exact"/>
        <w:ind w:left="588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                    </w:t>
      </w:r>
    </w:p>
    <w:p w14:paraId="190C2D3D">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甲方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采购方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u w:val="single"/>
          <w:lang w:val="en-US" w:eastAsia="zh-CN"/>
        </w:rPr>
        <w:t>安徽省经工物资有限公司</w:t>
      </w:r>
      <w:r>
        <w:rPr>
          <w:rFonts w:hint="eastAsia" w:ascii="仿宋_GB2312" w:hAnsi="仿宋_GB2312" w:eastAsia="仿宋_GB2312" w:cs="仿宋_GB2312"/>
          <w:color w:val="auto"/>
          <w:sz w:val="28"/>
          <w:szCs w:val="28"/>
          <w:highlight w:val="none"/>
        </w:rPr>
        <w:t>（以下简称甲方）</w:t>
      </w:r>
      <w:permStart w:id="1" w:edGrp="everyone"/>
      <w:permEnd w:id="1"/>
    </w:p>
    <w:p w14:paraId="34C2A1B5">
      <w:pPr>
        <w:keepNext w:val="0"/>
        <w:keepLines w:val="0"/>
        <w:pageBreakBefore w:val="0"/>
        <w:widowControl w:val="0"/>
        <w:tabs>
          <w:tab w:val="left" w:pos="5370"/>
        </w:tabs>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ermStart w:id="2" w:edGrp="everyone"/>
      <w:r>
        <w:rPr>
          <w:rFonts w:hint="eastAsia" w:ascii="仿宋_GB2312" w:hAnsi="仿宋_GB2312" w:eastAsia="仿宋_GB2312" w:cs="仿宋_GB2312"/>
          <w:color w:val="auto"/>
          <w:sz w:val="28"/>
          <w:szCs w:val="28"/>
          <w:highlight w:val="none"/>
          <w:u w:val="single"/>
          <w:lang w:val="en-US" w:eastAsia="zh-CN"/>
        </w:rPr>
        <w:t xml:space="preserve">                      </w:t>
      </w:r>
      <w:permEnd w:id="2"/>
      <w:r>
        <w:rPr>
          <w:rFonts w:hint="eastAsia" w:ascii="仿宋_GB2312" w:hAnsi="仿宋_GB2312" w:eastAsia="仿宋_GB2312" w:cs="仿宋_GB2312"/>
          <w:color w:val="auto"/>
          <w:sz w:val="28"/>
          <w:szCs w:val="28"/>
          <w:highlight w:val="none"/>
        </w:rPr>
        <w:t xml:space="preserve">（以下简称乙方）  </w:t>
      </w:r>
    </w:p>
    <w:p w14:paraId="38C588AE">
      <w:pPr>
        <w:keepNext w:val="0"/>
        <w:keepLines w:val="0"/>
        <w:pageBreakBefore w:val="0"/>
        <w:widowControl/>
        <w:suppressLineNumbers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rPr>
        <w:t>依据《</w:t>
      </w:r>
      <w:r>
        <w:rPr>
          <w:rFonts w:hint="eastAsia" w:ascii="仿宋_GB2312" w:hAnsi="仿宋_GB2312" w:eastAsia="仿宋_GB2312" w:cs="仿宋_GB2312"/>
          <w:color w:val="auto"/>
          <w:sz w:val="28"/>
          <w:szCs w:val="28"/>
          <w:highlight w:val="none"/>
          <w:lang w:eastAsia="zh-CN"/>
        </w:rPr>
        <w:t>中华人民共和国民法典</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val="en-US" w:eastAsia="zh-CN"/>
        </w:rPr>
        <w:t>及有关</w:t>
      </w:r>
      <w:r>
        <w:rPr>
          <w:rFonts w:hint="eastAsia" w:ascii="仿宋_GB2312" w:hAnsi="仿宋_GB2312" w:eastAsia="仿宋_GB2312" w:cs="仿宋_GB2312"/>
          <w:color w:val="auto"/>
          <w:sz w:val="28"/>
          <w:szCs w:val="28"/>
          <w:highlight w:val="none"/>
        </w:rPr>
        <w:t>规定，</w:t>
      </w:r>
      <w:r>
        <w:rPr>
          <w:rFonts w:hint="eastAsia" w:ascii="仿宋_GB2312" w:hAnsi="仿宋_GB2312" w:eastAsia="仿宋_GB2312" w:cs="仿宋_GB2312"/>
          <w:color w:val="auto"/>
          <w:sz w:val="28"/>
          <w:szCs w:val="28"/>
          <w:highlight w:val="none"/>
          <w:lang w:val="en-US" w:eastAsia="zh-CN"/>
        </w:rPr>
        <w:t>甲、乙双方经过友好协商，现就甲方向乙方购买</w:t>
      </w:r>
      <w:permStart w:id="3" w:edGrp="everyone"/>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用于</w:t>
      </w:r>
      <w:r>
        <w:rPr>
          <w:rFonts w:hint="eastAsia" w:ascii="仿宋_GB2312" w:hAnsi="仿宋_GB2312" w:eastAsia="仿宋_GB2312" w:cs="仿宋_GB2312"/>
          <w:color w:val="auto"/>
          <w:sz w:val="28"/>
          <w:szCs w:val="28"/>
          <w:highlight w:val="none"/>
          <w:u w:val="single"/>
          <w:lang w:val="en-US" w:eastAsia="zh-CN"/>
        </w:rPr>
        <w:t xml:space="preserve">               </w:t>
      </w:r>
      <w:permEnd w:id="3"/>
      <w:r>
        <w:rPr>
          <w:rFonts w:hint="eastAsia" w:ascii="仿宋_GB2312" w:hAnsi="仿宋_GB2312" w:eastAsia="仿宋_GB2312" w:cs="仿宋_GB2312"/>
          <w:color w:val="auto"/>
          <w:sz w:val="28"/>
          <w:szCs w:val="28"/>
          <w:highlight w:val="none"/>
          <w:u w:val="none"/>
          <w:lang w:val="en-US" w:eastAsia="zh-CN"/>
        </w:rPr>
        <w:t>项目有关事宜，达成如下一致条款</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u w:val="none"/>
          <w:lang w:val="en-US" w:eastAsia="zh-CN"/>
        </w:rPr>
        <w:t>以资双方共同遵照执行</w:t>
      </w:r>
      <w:r>
        <w:rPr>
          <w:rFonts w:hint="eastAsia" w:ascii="仿宋_GB2312" w:hAnsi="仿宋_GB2312" w:eastAsia="仿宋_GB2312" w:cs="仿宋_GB2312"/>
          <w:color w:val="auto"/>
          <w:sz w:val="28"/>
          <w:szCs w:val="28"/>
          <w:highlight w:val="none"/>
          <w:u w:val="none"/>
        </w:rPr>
        <w:t>：</w:t>
      </w:r>
    </w:p>
    <w:p w14:paraId="20F12AB6">
      <w:pPr>
        <w:keepNext w:val="0"/>
        <w:keepLines w:val="0"/>
        <w:pageBreakBefore w:val="0"/>
        <w:kinsoku/>
        <w:overflowPunct/>
        <w:autoSpaceDE/>
        <w:autoSpaceDN/>
        <w:bidi w:val="0"/>
        <w:adjustRightInd/>
        <w:snapToGrid/>
        <w:spacing w:line="560" w:lineRule="exact"/>
        <w:ind w:firstLine="560" w:firstLineChars="200"/>
        <w:jc w:val="both"/>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第一条  合同价款</w:t>
      </w:r>
    </w:p>
    <w:p w14:paraId="4A655A44">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w:t>
      </w:r>
      <w:permStart w:id="4" w:edGrp="everyone"/>
      <w:r>
        <w:rPr>
          <w:rFonts w:hint="eastAsia" w:ascii="仿宋_GB2312" w:hAnsi="仿宋_GB2312" w:eastAsia="仿宋_GB2312" w:cs="仿宋_GB2312"/>
          <w:color w:val="auto"/>
          <w:kern w:val="2"/>
          <w:sz w:val="28"/>
          <w:szCs w:val="28"/>
          <w:highlight w:val="none"/>
          <w:lang w:val="en-US" w:eastAsia="zh-CN" w:bidi="ar-SA"/>
        </w:rPr>
        <w:t>.本合同暂定总价为（含增值税）</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元）。其中，不含增值税价款为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元），增值税税率为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%，增值税</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w:t>
      </w:r>
      <w:permEnd w:id="4"/>
      <w:r>
        <w:rPr>
          <w:rFonts w:hint="eastAsia" w:ascii="仿宋_GB2312" w:hAnsi="仿宋_GB2312" w:eastAsia="仿宋_GB2312" w:cs="仿宋_GB2312"/>
          <w:color w:val="auto"/>
          <w:kern w:val="2"/>
          <w:sz w:val="28"/>
          <w:szCs w:val="28"/>
          <w:highlight w:val="none"/>
          <w:lang w:val="en-US" w:eastAsia="zh-CN" w:bidi="ar-SA"/>
        </w:rPr>
        <w:t>若因国家税务政策变化导致税率调整，不含增值税价格不变，具体税金以变更后的税率计算。</w:t>
      </w:r>
    </w:p>
    <w:p w14:paraId="0B254823">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具体报价清单见附件，清单中所列项目已包含全部工作内容，除甲方要求增加工程量外，乙方不得以任何理由增加清单项目。产品为固定综合单价，此单价涵盖各类税费、小型机械与工具费、管理费、利润、材料费（含辅材）、专用工具费、缺陷修复费、水电费、成品保护费、所有保险费、措施费 (内含垃圾清运、现场用于搭拆临时施工用架体、后期服务等费用)、运输费、深化设计费 (如有)、材料检测费、检验试验费、材料装卸车费、加工费、安装费、第三方检测费 (如有)、验收费、安全监督费用、试运行费、风险、交通、保洁、协调及完成本合同范围工作内容的安全费用、技术费用、措施费用、乙方人员保险费用以及与货物供应可能产生的所有成本和费用。在合同执行期内，产品单价不因市场波动、政策调整、人工涨跌等原因做任何形式的调整。本合同所列产品数量为暂估数量，最终以签收数量（乙方无条件补货与退货，并承担相应的运输、装卸货等费用）和固定综合单价进行结算。</w:t>
      </w:r>
    </w:p>
    <w:p w14:paraId="3E5CE15D">
      <w:pPr>
        <w:keepNext w:val="0"/>
        <w:keepLines w:val="0"/>
        <w:pageBreakBefore w:val="0"/>
        <w:kinsoku/>
        <w:overflowPunct/>
        <w:autoSpaceDE/>
        <w:autoSpaceDN/>
        <w:bidi w:val="0"/>
        <w:adjustRightInd/>
        <w:snapToGrid/>
        <w:spacing w:line="560" w:lineRule="exact"/>
        <w:ind w:firstLine="560" w:firstLineChars="200"/>
        <w:jc w:val="both"/>
        <w:rPr>
          <w:rFonts w:ascii="宋体" w:hAnsi="宋体" w:cs="宋体"/>
          <w:b/>
          <w:bCs/>
          <w:color w:val="auto"/>
          <w:sz w:val="22"/>
          <w:szCs w:val="22"/>
          <w:highlight w:val="none"/>
        </w:rPr>
      </w:pPr>
      <w:r>
        <w:rPr>
          <w:rFonts w:hint="eastAsia" w:ascii="黑体" w:hAnsi="黑体" w:eastAsia="黑体" w:cs="黑体"/>
          <w:b w:val="0"/>
          <w:bCs/>
          <w:color w:val="auto"/>
          <w:sz w:val="28"/>
          <w:szCs w:val="28"/>
          <w:highlight w:val="none"/>
        </w:rPr>
        <w:t>第二条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交货方式、时间及地点</w:t>
      </w:r>
    </w:p>
    <w:p w14:paraId="73508C92">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1.交货方式：乙方负责运送至甲方指定地点并安装结束。</w:t>
      </w:r>
    </w:p>
    <w:p w14:paraId="1D4894DC">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交货地点：甲方指定地点，乙方负责运送至甲方指定现场，并按甲方指定地点卸货，货物在安装验收合格并交付给甲方前的毁损、灭失，损失由乙方全额承担。运输费用和装卸费用、安装费用等均包含在合同价款内，由乙方承担。</w:t>
      </w:r>
    </w:p>
    <w:p w14:paraId="0611C1A3">
      <w:pPr>
        <w:keepNext w:val="0"/>
        <w:keepLines w:val="0"/>
        <w:pageBreakBefore w:val="0"/>
        <w:widowControl/>
        <w:suppressLineNumbers w:val="0"/>
        <w:kinsoku/>
        <w:wordWrap w:val="0"/>
        <w:overflowPunct/>
        <w:topLine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3.交货时间：乙方须在接到甲方通知后，按甲方通知时间完成供货及安装。通知方式包括但不限于电话、短信、邮件、传真、微信，乙方确认其有效联系人姓名</w:t>
      </w:r>
      <w:permStart w:id="5" w:edGrp="everyone"/>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，电话为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，联系地址为：</w:t>
      </w:r>
      <w:r>
        <w:rPr>
          <w:rFonts w:hint="eastAsia" w:ascii="仿宋_GB2312" w:hAnsi="仿宋_GB2312" w:eastAsia="仿宋_GB2312" w:cs="仿宋_GB2312"/>
          <w:color w:val="auto"/>
          <w:kern w:val="2"/>
          <w:sz w:val="28"/>
          <w:szCs w:val="28"/>
          <w:highlight w:val="none"/>
          <w:u w:val="single"/>
          <w:lang w:val="en-US" w:eastAsia="zh-CN" w:bidi="ar-SA"/>
        </w:rPr>
        <w:t xml:space="preserve">                  </w:t>
      </w:r>
      <w:permEnd w:id="5"/>
      <w:r>
        <w:rPr>
          <w:rFonts w:hint="eastAsia" w:ascii="仿宋_GB2312" w:hAnsi="仿宋_GB2312" w:eastAsia="仿宋_GB2312" w:cs="仿宋_GB2312"/>
          <w:color w:val="auto"/>
          <w:kern w:val="2"/>
          <w:sz w:val="28"/>
          <w:szCs w:val="28"/>
          <w:highlight w:val="none"/>
          <w:u w:val="none"/>
          <w:lang w:val="en-US" w:eastAsia="zh-CN" w:bidi="ar-SA"/>
        </w:rPr>
        <w:t>，</w:t>
      </w:r>
      <w:r>
        <w:rPr>
          <w:rFonts w:hint="eastAsia" w:ascii="仿宋_GB2312" w:hAnsi="仿宋_GB2312" w:eastAsia="仿宋_GB2312" w:cs="仿宋_GB2312"/>
          <w:color w:val="auto"/>
          <w:kern w:val="2"/>
          <w:sz w:val="28"/>
          <w:szCs w:val="28"/>
          <w:highlight w:val="none"/>
          <w:lang w:val="en-US" w:eastAsia="zh-CN" w:bidi="ar-SA"/>
        </w:rPr>
        <w:t>甲方以上述任一方式发出的通知均为合法有效的通知。</w:t>
      </w:r>
    </w:p>
    <w:p w14:paraId="1205F076">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4.在运输过程以及安装过程中发生车辆人员毁损、伤亡等安全事故或发生对周围环境、水流、道路、树木、作物等损害事故时，由乙方承担各种赔偿费用，并由乙方与承运人、承保人办理理赔事宜。</w:t>
      </w:r>
    </w:p>
    <w:p w14:paraId="6DA8306C">
      <w:pPr>
        <w:keepNext w:val="0"/>
        <w:keepLines w:val="0"/>
        <w:pageBreakBefore w:val="0"/>
        <w:kinsoku/>
        <w:overflowPunct/>
        <w:autoSpaceDE/>
        <w:autoSpaceDN/>
        <w:bidi w:val="0"/>
        <w:adjustRightInd/>
        <w:snapToGrid/>
        <w:spacing w:line="560" w:lineRule="exact"/>
        <w:ind w:firstLine="560" w:firstLineChars="200"/>
        <w:jc w:val="both"/>
        <w:textAlignment w:val="auto"/>
        <w:rPr>
          <w:rFonts w:hint="default"/>
          <w:color w:val="auto"/>
          <w:lang w:val="en-US" w:eastAsia="zh-CN"/>
        </w:rPr>
      </w:pPr>
      <w:r>
        <w:rPr>
          <w:rFonts w:hint="eastAsia" w:ascii="仿宋_GB2312" w:hAnsi="仿宋_GB2312" w:eastAsia="仿宋_GB2312" w:cs="仿宋_GB2312"/>
          <w:color w:val="auto"/>
          <w:kern w:val="2"/>
          <w:sz w:val="28"/>
          <w:szCs w:val="28"/>
          <w:highlight w:val="none"/>
          <w:lang w:val="en-US" w:eastAsia="zh-CN" w:bidi="ar-SA"/>
        </w:rPr>
        <w:t>5.乙方应在物资装车/船前24小时之内短信、微信等形式将合同号、物资名称、数量、运输工具名称、车/船号及启运日期通知甲方现场联系人。</w:t>
      </w:r>
    </w:p>
    <w:p w14:paraId="29A5CC6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三</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验收</w:t>
      </w:r>
    </w:p>
    <w:p w14:paraId="07156A48">
      <w:pPr>
        <w:keepNext w:val="0"/>
        <w:keepLines w:val="0"/>
        <w:pageBreakBefore w:val="0"/>
        <w:widowControl w:val="0"/>
        <w:kinsoku/>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乙方按约将货物送至</w:t>
      </w:r>
      <w:r>
        <w:rPr>
          <w:rFonts w:hint="eastAsia" w:ascii="仿宋_GB2312" w:hAnsi="仿宋_GB2312" w:eastAsia="仿宋_GB2312" w:cs="仿宋_GB2312"/>
          <w:color w:val="auto"/>
          <w:sz w:val="28"/>
          <w:szCs w:val="28"/>
          <w:highlight w:val="none"/>
          <w:lang w:val="en-US" w:eastAsia="zh-CN"/>
        </w:rPr>
        <w:t>现场</w:t>
      </w:r>
      <w:r>
        <w:rPr>
          <w:rFonts w:hint="eastAsia" w:ascii="仿宋_GB2312" w:hAnsi="仿宋_GB2312" w:eastAsia="仿宋_GB2312" w:cs="仿宋_GB2312"/>
          <w:color w:val="auto"/>
          <w:sz w:val="28"/>
          <w:szCs w:val="28"/>
          <w:highlight w:val="none"/>
          <w:lang w:eastAsia="zh-CN"/>
        </w:rPr>
        <w:t>后，需将货物卸至甲方指定地点，</w:t>
      </w:r>
      <w:r>
        <w:rPr>
          <w:rFonts w:hint="eastAsia" w:ascii="仿宋_GB2312" w:hAnsi="仿宋_GB2312" w:eastAsia="仿宋_GB2312" w:cs="仿宋_GB2312"/>
          <w:color w:val="auto"/>
          <w:sz w:val="28"/>
          <w:szCs w:val="28"/>
          <w:highlight w:val="none"/>
          <w:lang w:val="en-US" w:eastAsia="zh-CN"/>
        </w:rPr>
        <w:t>安装结束</w:t>
      </w:r>
      <w:r>
        <w:rPr>
          <w:rFonts w:hint="eastAsia" w:ascii="仿宋_GB2312" w:hAnsi="仿宋_GB2312" w:eastAsia="仿宋_GB2312" w:cs="仿宋_GB2312"/>
          <w:color w:val="auto"/>
          <w:sz w:val="28"/>
          <w:szCs w:val="28"/>
          <w:highlight w:val="none"/>
          <w:lang w:eastAsia="zh-CN"/>
        </w:rPr>
        <w:t>并经甲方签收确认，甲方指定</w:t>
      </w:r>
      <w:r>
        <w:rPr>
          <w:rFonts w:hint="eastAsia" w:ascii="仿宋_GB2312" w:hAnsi="仿宋_GB2312" w:eastAsia="仿宋_GB2312" w:cs="仿宋_GB2312"/>
          <w:color w:val="auto"/>
          <w:sz w:val="28"/>
          <w:szCs w:val="28"/>
          <w:highlight w:val="none"/>
          <w:u w:val="single"/>
          <w:lang w:eastAsia="zh-CN"/>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（联系方式为：</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w:t>
      </w:r>
      <w:r>
        <w:rPr>
          <w:rFonts w:hint="eastAsia" w:ascii="仿宋_GB2312" w:hAnsi="仿宋_GB2312" w:eastAsia="仿宋_GB2312" w:cs="仿宋_GB2312"/>
          <w:color w:val="auto"/>
          <w:sz w:val="28"/>
          <w:szCs w:val="28"/>
          <w:highlight w:val="none"/>
          <w:lang w:eastAsia="zh-CN"/>
        </w:rPr>
        <w:t>为</w:t>
      </w:r>
      <w:r>
        <w:rPr>
          <w:rFonts w:hint="eastAsia" w:ascii="仿宋_GB2312" w:hAnsi="仿宋_GB2312" w:eastAsia="仿宋_GB2312" w:cs="仿宋_GB2312"/>
          <w:color w:val="auto"/>
          <w:sz w:val="28"/>
          <w:szCs w:val="28"/>
          <w:highlight w:val="none"/>
          <w:lang w:val="en-US" w:eastAsia="zh-CN"/>
        </w:rPr>
        <w:t>货物签收确认</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lang w:val="en-US" w:eastAsia="zh-CN"/>
        </w:rPr>
        <w:t>。如果</w:t>
      </w:r>
      <w:r>
        <w:rPr>
          <w:rFonts w:hint="eastAsia" w:ascii="仿宋_GB2312" w:hAnsi="仿宋_GB2312" w:eastAsia="仿宋_GB2312" w:cs="仿宋_GB2312"/>
          <w:color w:val="auto"/>
          <w:sz w:val="28"/>
          <w:szCs w:val="28"/>
          <w:highlight w:val="none"/>
        </w:rPr>
        <w:t>现场签收</w:t>
      </w:r>
      <w:r>
        <w:rPr>
          <w:rFonts w:hint="eastAsia" w:ascii="仿宋_GB2312" w:hAnsi="仿宋_GB2312" w:eastAsia="仿宋_GB2312" w:cs="仿宋_GB2312"/>
          <w:color w:val="auto"/>
          <w:sz w:val="28"/>
          <w:szCs w:val="28"/>
          <w:highlight w:val="none"/>
          <w:lang w:val="en-US" w:eastAsia="zh-CN"/>
        </w:rPr>
        <w:t>人员发生变更，甲方会通知乙方重新指定。</w:t>
      </w:r>
    </w:p>
    <w:p w14:paraId="1F7C230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将货物送至甲方指定地点卸货后，需拍摄货物卸载后照片，照片须带有时间、地点等水印信息；同时需拍摄货物卸载过程及卸载后视频影像，影像内容须体现项目（工地）名称，货物堆放全貌，货物颜色、品类、数量、堆放位置等有利于货物识别的相关信息。如乙方提供以上虚假影像资料，甲方将视乙方未供应该批次货物，乙方需承担由此给甲方造成的所有损失。</w:t>
      </w:r>
    </w:p>
    <w:p w14:paraId="71DBFFD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在乙方将货物送至现场后，甲方有权在现场车上或货物堆放在指定地点后按物品的特性及行业惯例进行验收。如甲方认为乙方送货的数量与送货单记载数量不符的，则可以随时抽检。</w:t>
      </w:r>
    </w:p>
    <w:p w14:paraId="0A342B7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b w:val="0"/>
          <w:bCs w:val="0"/>
          <w:color w:val="auto"/>
          <w:sz w:val="28"/>
          <w:szCs w:val="28"/>
          <w:highlight w:val="none"/>
        </w:rPr>
        <w:t>如品种、型号、规格、数量不符合规定和合同约定的，甲方在验收完毕后的</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日内向乙方提出异议和处理意见。对货物质量的异议不受时间限制，随时发现可以随时提出异议。乙方在收到甲方异议后，应在</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日内负责处理；如果乙方逾期不予处理或收到异议通知后置之不理的，视为同意甲方提出的异议和处理意见，甲方有权将收到的货物自行处理，因此发生的费用和损失由乙方承担。</w:t>
      </w:r>
    </w:p>
    <w:p w14:paraId="19D2ADA2">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乙方所供的产品，必须符合该项目的检测要求并提供相关的检测资料，检测费用由乙方承担。</w:t>
      </w:r>
    </w:p>
    <w:p w14:paraId="4435764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6.</w:t>
      </w:r>
      <w:r>
        <w:rPr>
          <w:rFonts w:hint="eastAsia" w:ascii="仿宋_GB2312" w:hAnsi="仿宋_GB2312" w:eastAsia="仿宋_GB2312" w:cs="仿宋_GB2312"/>
          <w:b w:val="0"/>
          <w:bCs w:val="0"/>
          <w:color w:val="auto"/>
          <w:sz w:val="28"/>
          <w:szCs w:val="28"/>
          <w:highlight w:val="none"/>
        </w:rPr>
        <w:t>甲方有权对初步验收合格后的产品采取抽检、取样等方式交检验机构检验，任何被检验的货物如不能满足质量技术和规格要求，甲方有权要求对该批货品按照</w:t>
      </w:r>
      <w:r>
        <w:rPr>
          <w:rFonts w:hint="eastAsia" w:ascii="仿宋_GB2312" w:hAnsi="仿宋_GB2312" w:eastAsia="仿宋_GB2312" w:cs="仿宋_GB2312"/>
          <w:b w:val="0"/>
          <w:bCs w:val="0"/>
          <w:color w:val="auto"/>
          <w:sz w:val="28"/>
          <w:szCs w:val="28"/>
          <w:highlight w:val="none"/>
          <w:lang w:val="en-US" w:eastAsia="zh-CN"/>
        </w:rPr>
        <w:t>乙方违约</w:t>
      </w:r>
      <w:r>
        <w:rPr>
          <w:rFonts w:hint="eastAsia" w:ascii="仿宋_GB2312" w:hAnsi="仿宋_GB2312" w:eastAsia="仿宋_GB2312" w:cs="仿宋_GB2312"/>
          <w:b w:val="0"/>
          <w:bCs w:val="0"/>
          <w:color w:val="auto"/>
          <w:sz w:val="28"/>
          <w:szCs w:val="28"/>
          <w:highlight w:val="none"/>
        </w:rPr>
        <w:t>进行处理，因此产生的费用和给甲方造成的损失均由乙方承担。</w:t>
      </w:r>
    </w:p>
    <w:p w14:paraId="3988D98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7.产品</w:t>
      </w:r>
      <w:r>
        <w:rPr>
          <w:rFonts w:hint="eastAsia" w:ascii="仿宋_GB2312" w:hAnsi="仿宋_GB2312" w:eastAsia="仿宋_GB2312" w:cs="仿宋_GB2312"/>
          <w:b w:val="0"/>
          <w:bCs w:val="0"/>
          <w:color w:val="auto"/>
          <w:sz w:val="28"/>
          <w:szCs w:val="28"/>
          <w:highlight w:val="none"/>
        </w:rPr>
        <w:t>验收如发生争议，可交由项目所在地具</w:t>
      </w:r>
      <w:r>
        <w:rPr>
          <w:rFonts w:hint="eastAsia" w:ascii="仿宋_GB2312" w:hAnsi="仿宋_GB2312" w:eastAsia="仿宋_GB2312" w:cs="仿宋_GB2312"/>
          <w:b w:val="0"/>
          <w:bCs w:val="0"/>
          <w:color w:val="auto"/>
          <w:sz w:val="28"/>
          <w:szCs w:val="28"/>
          <w:highlight w:val="none"/>
          <w:lang w:val="en-US" w:eastAsia="zh-CN"/>
        </w:rPr>
        <w:t>有</w:t>
      </w:r>
      <w:r>
        <w:rPr>
          <w:rFonts w:hint="eastAsia" w:ascii="仿宋_GB2312" w:hAnsi="仿宋_GB2312" w:eastAsia="仿宋_GB2312" w:cs="仿宋_GB2312"/>
          <w:b w:val="0"/>
          <w:bCs w:val="0"/>
          <w:color w:val="auto"/>
          <w:sz w:val="28"/>
          <w:szCs w:val="28"/>
          <w:highlight w:val="none"/>
        </w:rPr>
        <w:t>国家认证的相应检测资质的检验机构对产品进行复检。检测费用约定：乙方</w:t>
      </w:r>
      <w:r>
        <w:rPr>
          <w:rFonts w:hint="eastAsia" w:ascii="仿宋_GB2312" w:hAnsi="仿宋_GB2312" w:eastAsia="仿宋_GB2312" w:cs="仿宋_GB2312"/>
          <w:b w:val="0"/>
          <w:bCs w:val="0"/>
          <w:color w:val="auto"/>
          <w:sz w:val="28"/>
          <w:szCs w:val="28"/>
          <w:highlight w:val="none"/>
          <w:lang w:val="en-US" w:eastAsia="zh-CN"/>
        </w:rPr>
        <w:t>承诺</w:t>
      </w:r>
      <w:r>
        <w:rPr>
          <w:rFonts w:hint="eastAsia" w:ascii="仿宋_GB2312" w:hAnsi="仿宋_GB2312" w:eastAsia="仿宋_GB2312" w:cs="仿宋_GB2312"/>
          <w:b w:val="0"/>
          <w:bCs w:val="0"/>
          <w:color w:val="auto"/>
          <w:sz w:val="28"/>
          <w:szCs w:val="28"/>
          <w:highlight w:val="none"/>
        </w:rPr>
        <w:t>委外检测费用由乙方</w:t>
      </w:r>
      <w:r>
        <w:rPr>
          <w:rFonts w:hint="eastAsia" w:ascii="仿宋_GB2312" w:hAnsi="仿宋_GB2312" w:eastAsia="仿宋_GB2312" w:cs="仿宋_GB2312"/>
          <w:b w:val="0"/>
          <w:bCs w:val="0"/>
          <w:color w:val="auto"/>
          <w:sz w:val="28"/>
          <w:szCs w:val="28"/>
          <w:highlight w:val="none"/>
          <w:lang w:val="en-US" w:eastAsia="zh-CN"/>
        </w:rPr>
        <w:t>先行</w:t>
      </w:r>
      <w:r>
        <w:rPr>
          <w:rFonts w:hint="eastAsia" w:ascii="仿宋_GB2312" w:hAnsi="仿宋_GB2312" w:eastAsia="仿宋_GB2312" w:cs="仿宋_GB2312"/>
          <w:b w:val="0"/>
          <w:bCs w:val="0"/>
          <w:color w:val="auto"/>
          <w:sz w:val="28"/>
          <w:szCs w:val="28"/>
          <w:highlight w:val="none"/>
        </w:rPr>
        <w:t>承担，检测结果</w:t>
      </w:r>
      <w:r>
        <w:rPr>
          <w:rFonts w:hint="eastAsia" w:ascii="仿宋_GB2312" w:hAnsi="仿宋_GB2312" w:eastAsia="仿宋_GB2312" w:cs="仿宋_GB2312"/>
          <w:b w:val="0"/>
          <w:bCs w:val="0"/>
          <w:color w:val="auto"/>
          <w:sz w:val="28"/>
          <w:szCs w:val="28"/>
          <w:highlight w:val="none"/>
          <w:lang w:val="en-US" w:eastAsia="zh-CN"/>
        </w:rPr>
        <w:t>出来后</w:t>
      </w:r>
      <w:r>
        <w:rPr>
          <w:rFonts w:hint="eastAsia" w:ascii="仿宋_GB2312" w:hAnsi="仿宋_GB2312" w:eastAsia="仿宋_GB2312" w:cs="仿宋_GB2312"/>
          <w:b w:val="0"/>
          <w:bCs w:val="0"/>
          <w:color w:val="auto"/>
          <w:sz w:val="28"/>
          <w:szCs w:val="28"/>
          <w:highlight w:val="none"/>
        </w:rPr>
        <w:t>，检测费用由</w:t>
      </w:r>
      <w:r>
        <w:rPr>
          <w:rFonts w:hint="eastAsia" w:ascii="仿宋_GB2312" w:hAnsi="仿宋_GB2312" w:eastAsia="仿宋_GB2312" w:cs="仿宋_GB2312"/>
          <w:b w:val="0"/>
          <w:bCs w:val="0"/>
          <w:color w:val="auto"/>
          <w:sz w:val="28"/>
          <w:szCs w:val="28"/>
          <w:highlight w:val="none"/>
          <w:lang w:val="en-US" w:eastAsia="zh-CN"/>
        </w:rPr>
        <w:t>责任方</w:t>
      </w:r>
      <w:r>
        <w:rPr>
          <w:rFonts w:hint="eastAsia" w:ascii="仿宋_GB2312" w:hAnsi="仿宋_GB2312" w:eastAsia="仿宋_GB2312" w:cs="仿宋_GB2312"/>
          <w:b w:val="0"/>
          <w:bCs w:val="0"/>
          <w:color w:val="auto"/>
          <w:sz w:val="28"/>
          <w:szCs w:val="28"/>
          <w:highlight w:val="none"/>
        </w:rPr>
        <w:t>承担。</w:t>
      </w:r>
    </w:p>
    <w:p w14:paraId="510F6DF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8.</w:t>
      </w:r>
      <w:r>
        <w:rPr>
          <w:rFonts w:hint="eastAsia" w:ascii="仿宋_GB2312" w:hAnsi="仿宋_GB2312" w:eastAsia="仿宋_GB2312" w:cs="仿宋_GB2312"/>
          <w:b w:val="0"/>
          <w:bCs w:val="0"/>
          <w:color w:val="auto"/>
          <w:sz w:val="28"/>
          <w:szCs w:val="28"/>
          <w:highlight w:val="none"/>
        </w:rPr>
        <w:t xml:space="preserve">甲方指定的上述人员是甲方唯一的收货代表，其在乙方送货清单上签字，作为乙方货物已到现场的证明，指定人员以外其他人员的验收、签认，对另一方不发生效力。一方指定人员发生变化时，应当及时告知对方，并自书面通知到达对方时产生效力。送货清单（或相应票据）中事先印刷的相关备注文字（双方验收人员签署的备注内容除外）内容不构成合同文件的组成部分。甲方对货物的验收，并不视为免除乙方对产品质量和技术应负的责任。 </w:t>
      </w:r>
    </w:p>
    <w:p w14:paraId="53D7AF59">
      <w:pPr>
        <w:pStyle w:val="2"/>
        <w:keepNext w:val="0"/>
        <w:keepLines w:val="0"/>
        <w:pageBreakBefore w:val="0"/>
        <w:widowControl w:val="0"/>
        <w:kinsoku/>
        <w:overflowPunct/>
        <w:topLinePunct w:val="0"/>
        <w:autoSpaceDE/>
        <w:autoSpaceDN/>
        <w:bidi w:val="0"/>
        <w:adjustRightInd/>
        <w:snapToGrid/>
        <w:spacing w:after="0" w:line="560" w:lineRule="exact"/>
        <w:ind w:firstLine="560" w:firstLineChars="200"/>
        <w:textAlignment w:val="auto"/>
        <w:rPr>
          <w:rFonts w:hint="eastAsia" w:eastAsia="仿宋"/>
          <w:color w:val="auto"/>
          <w:lang w:val="en-US" w:eastAsia="zh-CN"/>
        </w:rPr>
      </w:pPr>
      <w:r>
        <w:rPr>
          <w:rFonts w:hint="eastAsia" w:ascii="仿宋_GB2312" w:hAnsi="仿宋_GB2312" w:eastAsia="仿宋_GB2312" w:cs="仿宋_GB2312"/>
          <w:b w:val="0"/>
          <w:bCs w:val="0"/>
          <w:color w:val="auto"/>
          <w:sz w:val="28"/>
          <w:szCs w:val="28"/>
          <w:highlight w:val="none"/>
          <w:lang w:val="en-US" w:eastAsia="zh-CN"/>
        </w:rPr>
        <w:t>9.</w:t>
      </w:r>
      <w:r>
        <w:rPr>
          <w:rFonts w:ascii="仿宋" w:hAnsi="仿宋" w:eastAsia="仿宋"/>
          <w:color w:val="auto"/>
          <w:sz w:val="28"/>
          <w:szCs w:val="28"/>
          <w:highlight w:val="none"/>
        </w:rPr>
        <w:t>乙方</w:t>
      </w:r>
      <w:r>
        <w:rPr>
          <w:rFonts w:hint="eastAsia" w:ascii="仿宋" w:hAnsi="仿宋" w:eastAsia="仿宋"/>
          <w:color w:val="auto"/>
          <w:sz w:val="28"/>
          <w:szCs w:val="28"/>
          <w:highlight w:val="none"/>
          <w:lang w:eastAsia="zh-CN"/>
        </w:rPr>
        <w:t>的材料设备供应及安装工程施工</w:t>
      </w:r>
      <w:r>
        <w:rPr>
          <w:rFonts w:ascii="仿宋" w:hAnsi="仿宋" w:eastAsia="仿宋"/>
          <w:color w:val="auto"/>
          <w:sz w:val="28"/>
          <w:szCs w:val="28"/>
          <w:highlight w:val="none"/>
        </w:rPr>
        <w:t>应严格按照技术要求和国家(行业)的相关质量标准，</w:t>
      </w:r>
      <w:r>
        <w:rPr>
          <w:rFonts w:hint="eastAsia" w:ascii="仿宋" w:hAnsi="仿宋" w:eastAsia="仿宋"/>
          <w:color w:val="auto"/>
          <w:sz w:val="28"/>
          <w:szCs w:val="28"/>
          <w:highlight w:val="none"/>
        </w:rPr>
        <w:t>同时应当满足项目图纸及规范的相关</w:t>
      </w:r>
      <w:r>
        <w:rPr>
          <w:rFonts w:hint="eastAsia" w:ascii="仿宋" w:hAnsi="仿宋" w:eastAsia="仿宋"/>
          <w:color w:val="auto"/>
          <w:sz w:val="28"/>
          <w:szCs w:val="28"/>
          <w:highlight w:val="none"/>
          <w:lang w:eastAsia="zh-CN"/>
        </w:rPr>
        <w:t>验收</w:t>
      </w:r>
      <w:r>
        <w:rPr>
          <w:rFonts w:hint="eastAsia" w:ascii="仿宋" w:hAnsi="仿宋" w:eastAsia="仿宋"/>
          <w:color w:val="auto"/>
          <w:sz w:val="28"/>
          <w:szCs w:val="28"/>
          <w:highlight w:val="none"/>
        </w:rPr>
        <w:t>要求，</w:t>
      </w:r>
      <w:r>
        <w:rPr>
          <w:rFonts w:hint="eastAsia" w:ascii="仿宋" w:hAnsi="仿宋" w:eastAsia="仿宋"/>
          <w:color w:val="auto"/>
          <w:sz w:val="28"/>
          <w:szCs w:val="28"/>
          <w:highlight w:val="none"/>
          <w:lang w:eastAsia="zh-CN"/>
        </w:rPr>
        <w:t>满足甲方工程验收标准要求，</w:t>
      </w:r>
      <w:r>
        <w:rPr>
          <w:rFonts w:ascii="仿宋" w:hAnsi="仿宋" w:eastAsia="仿宋"/>
          <w:color w:val="auto"/>
          <w:sz w:val="28"/>
          <w:szCs w:val="28"/>
          <w:highlight w:val="none"/>
        </w:rPr>
        <w:t>确保所供材料</w:t>
      </w:r>
      <w:r>
        <w:rPr>
          <w:rFonts w:hint="eastAsia" w:ascii="仿宋" w:hAnsi="仿宋" w:eastAsia="仿宋"/>
          <w:color w:val="auto"/>
          <w:sz w:val="28"/>
          <w:szCs w:val="28"/>
          <w:highlight w:val="none"/>
          <w:lang w:eastAsia="zh-CN"/>
        </w:rPr>
        <w:t>设备的施工和安装</w:t>
      </w:r>
      <w:r>
        <w:rPr>
          <w:rFonts w:ascii="仿宋" w:hAnsi="仿宋" w:eastAsia="仿宋"/>
          <w:color w:val="auto"/>
          <w:sz w:val="28"/>
          <w:szCs w:val="28"/>
          <w:highlight w:val="none"/>
        </w:rPr>
        <w:t>质量</w:t>
      </w:r>
      <w:r>
        <w:rPr>
          <w:rFonts w:hint="eastAsia" w:ascii="仿宋" w:hAnsi="仿宋" w:eastAsia="仿宋"/>
          <w:color w:val="auto"/>
          <w:sz w:val="28"/>
          <w:szCs w:val="28"/>
          <w:highlight w:val="none"/>
          <w:lang w:eastAsia="zh-CN"/>
        </w:rPr>
        <w:t>。</w:t>
      </w:r>
    </w:p>
    <w:p w14:paraId="55B40EAF">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ascii="黑体" w:hAnsi="黑体" w:eastAsia="黑体" w:cs="黑体"/>
          <w:b w:val="0"/>
          <w:bCs/>
          <w:color w:val="auto"/>
          <w:sz w:val="28"/>
          <w:szCs w:val="28"/>
          <w:highlight w:val="none"/>
          <w:lang w:val="en-US"/>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四</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产品质量和包装</w:t>
      </w:r>
    </w:p>
    <w:p w14:paraId="1D0F1D2A">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1.本合同的缺陷责任期为交工验收通过后</w:t>
      </w:r>
      <w:permStart w:id="6" w:edGrp="everyone"/>
      <w:r>
        <w:rPr>
          <w:rFonts w:hint="eastAsia" w:ascii="仿宋_GB2312" w:hAnsi="仿宋_GB2312" w:eastAsia="仿宋_GB2312" w:cs="仿宋_GB2312"/>
          <w:color w:val="auto"/>
          <w:sz w:val="28"/>
          <w:szCs w:val="28"/>
          <w:highlight w:val="none"/>
          <w:u w:val="single"/>
          <w:lang w:val="en-US" w:eastAsia="zh-CN"/>
        </w:rPr>
        <w:t xml:space="preserve">  2  </w:t>
      </w:r>
      <w:permEnd w:id="6"/>
      <w:r>
        <w:rPr>
          <w:rFonts w:hint="eastAsia" w:ascii="仿宋_GB2312" w:hAnsi="仿宋_GB2312" w:eastAsia="仿宋_GB2312" w:cs="仿宋_GB2312"/>
          <w:color w:val="auto"/>
          <w:sz w:val="28"/>
          <w:szCs w:val="28"/>
          <w:highlight w:val="none"/>
          <w:lang w:val="en-US" w:eastAsia="zh-CN"/>
        </w:rPr>
        <w:t>年，质量保证期（以下简称质保期）为交工验收合格后</w:t>
      </w:r>
      <w:permStart w:id="7" w:edGrp="everyone"/>
      <w:r>
        <w:rPr>
          <w:rFonts w:hint="eastAsia" w:ascii="仿宋_GB2312" w:hAnsi="仿宋_GB2312" w:eastAsia="仿宋_GB2312" w:cs="仿宋_GB2312"/>
          <w:color w:val="auto"/>
          <w:sz w:val="28"/>
          <w:szCs w:val="28"/>
          <w:highlight w:val="none"/>
          <w:u w:val="single"/>
          <w:lang w:val="en-US" w:eastAsia="zh-CN"/>
        </w:rPr>
        <w:t xml:space="preserve">  2  </w:t>
      </w:r>
      <w:permEnd w:id="7"/>
      <w:r>
        <w:rPr>
          <w:rFonts w:hint="eastAsia" w:ascii="仿宋_GB2312" w:hAnsi="仿宋_GB2312" w:eastAsia="仿宋_GB2312" w:cs="仿宋_GB2312"/>
          <w:color w:val="auto"/>
          <w:sz w:val="28"/>
          <w:szCs w:val="28"/>
          <w:highlight w:val="none"/>
          <w:lang w:val="en-US" w:eastAsia="zh-CN"/>
        </w:rPr>
        <w:t>年，若乙方在响应文件中承诺质保期更长的，质保期从其承诺。质保期内乙方进行质量“三包”，质量三包不包括因不可抗力因素和人为因素造成的损坏。乙方供应产品质量必须满足国家或本行业现行的技术标准并满足该项目需要。甲方对产品技术标准另有要求的，必须达到甲方指定标准。对于特殊产品需要提供质量外检服务的，费用由乙方承担。</w:t>
      </w:r>
    </w:p>
    <w:p w14:paraId="2FD110F5">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b w:val="0"/>
          <w:bCs w:val="0"/>
          <w:color w:val="auto"/>
          <w:sz w:val="28"/>
          <w:szCs w:val="28"/>
          <w:highlight w:val="none"/>
        </w:rPr>
        <w:t>在质保期内，因货物使用过程中出现任何问题影响到甲方正常使用的，乙方须在收到甲方通知后</w:t>
      </w:r>
      <w:r>
        <w:rPr>
          <w:rFonts w:hint="eastAsia" w:ascii="仿宋_GB2312" w:hAnsi="仿宋_GB2312" w:eastAsia="仿宋_GB2312" w:cs="仿宋_GB2312"/>
          <w:b w:val="0"/>
          <w:bCs w:val="0"/>
          <w:color w:val="auto"/>
          <w:sz w:val="28"/>
          <w:szCs w:val="28"/>
          <w:highlight w:val="none"/>
          <w:lang w:val="en-US" w:eastAsia="zh-CN"/>
        </w:rPr>
        <w:t>3</w:t>
      </w:r>
      <w:r>
        <w:rPr>
          <w:rFonts w:hint="eastAsia" w:ascii="仿宋_GB2312" w:hAnsi="仿宋_GB2312" w:eastAsia="仿宋_GB2312" w:cs="仿宋_GB2312"/>
          <w:b w:val="0"/>
          <w:bCs w:val="0"/>
          <w:color w:val="auto"/>
          <w:sz w:val="28"/>
          <w:szCs w:val="28"/>
          <w:highlight w:val="none"/>
        </w:rPr>
        <w:t>日内进行维修或更换，因此产生的费用由乙方承担。</w:t>
      </w:r>
      <w:r>
        <w:rPr>
          <w:rFonts w:hint="eastAsia" w:ascii="仿宋_GB2312" w:hAnsi="仿宋_GB2312" w:eastAsia="仿宋_GB2312" w:cs="仿宋_GB2312"/>
          <w:color w:val="auto"/>
          <w:sz w:val="28"/>
          <w:szCs w:val="28"/>
          <w:highlight w:val="none"/>
          <w:lang w:val="en-US" w:eastAsia="zh-CN"/>
        </w:rPr>
        <w:t>质保期满后，若有零部件或货物出现故障，经鉴定属于寿命异常问题（明显短于该零部件或货物正常寿命）时，则由乙方负责免费更换维修。质保期满后，乙方以优惠价格向甲方提供所需的零配件或货物。</w:t>
      </w:r>
    </w:p>
    <w:p w14:paraId="3C6EDE5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3.乙方必须提供合同标的中所有产品的合格证、产品说明书、检测报告、第三方检测报告（如有）、随机附件、工具（如有），货到现场后交给现场的收货人员。</w:t>
      </w:r>
    </w:p>
    <w:p w14:paraId="29C50CF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4.合同标的中若有进口产品，则乙方必须提供报关单原产地证明、单机产品序列号、原生产厂商质量保证书等证明材料。</w:t>
      </w:r>
    </w:p>
    <w:p w14:paraId="15E38B89">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产品包装应符合国家标准。乙方应承担由于其包装或其防护措施不妥而引起货物锈蚀、损坏和丢失等任何损失的责任或费用。产品在卸货后剥离包装物同时负责回收或送到包装清理指定地点。空包装物及包装箱乙方承诺不再回收，均无偿归甲方所有。</w:t>
      </w:r>
    </w:p>
    <w:p w14:paraId="2882334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黑体" w:cs="仿宋_GB2312"/>
          <w:color w:val="auto"/>
          <w:sz w:val="28"/>
          <w:szCs w:val="28"/>
          <w:highlight w:val="none"/>
          <w:u w:val="none"/>
          <w:lang w:val="en-US" w:eastAsia="zh-CN"/>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五</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结算方式及期限</w:t>
      </w:r>
    </w:p>
    <w:p w14:paraId="7360336A">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1.货到工地经甲方指定签收人验收合格并签收，当货物金额达到合同金额的50%后办理第一批货款支付，支付已供货物价款的70%。</w:t>
      </w:r>
    </w:p>
    <w:p w14:paraId="2CEBD639">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2.产品全部供货到现场经甲方指定验收人验收合格并办理完成结算手续后，甲方向乙方支付至结算价的97%。</w:t>
      </w:r>
    </w:p>
    <w:p w14:paraId="7BE1EF89">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3.剩余3%作为质保金，在缺陷责任期结束后，无质量问题一次性无息支付。</w:t>
      </w:r>
    </w:p>
    <w:p w14:paraId="64075E96">
      <w:pPr>
        <w:pStyle w:val="2"/>
        <w:keepNext w:val="0"/>
        <w:keepLines w:val="0"/>
        <w:pageBreakBefore w:val="0"/>
        <w:widowControl w:val="0"/>
        <w:kinsoku/>
        <w:overflowPunct/>
        <w:topLinePunct w:val="0"/>
        <w:autoSpaceDE/>
        <w:autoSpaceDN/>
        <w:bidi w:val="0"/>
        <w:adjustRightInd/>
        <w:snapToGrid/>
        <w:spacing w:after="0" w:line="560" w:lineRule="exact"/>
        <w:ind w:firstLine="560" w:firstLineChars="200"/>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4.成交公示后，在合同签订前，乙方需向甲方支付合同总价2%的履约保证金或提供合同总价5%的银行保函。</w:t>
      </w:r>
    </w:p>
    <w:p w14:paraId="14CDB912">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供货后15日内将所送货物的送货单(需为经甲方指定签收人签字确认的有效送货单)汇总后向甲方提交书面对账清单，并由甲方根据实际情况进行确认；最终结算乙方需派专业造价人员编制终期结算单，经甲方确认后方可作为价款结算和付款依据，除此之外任何证明、收条、欠条、信函等文件，都不得作为结算、支付依据。若因乙方迟延提交对账清单，因此造成的损失由乙方自行承担。</w:t>
      </w:r>
    </w:p>
    <w:p w14:paraId="2C4BC15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6.乙方应当向甲方提供符合甲方财务要求的国家税务局13%增值税专用发票，发票需要做到“三流一致”，也即“货物、劳务及应税服务流”、“资金流”、“发票流”必须都是同一受票方。</w:t>
      </w:r>
    </w:p>
    <w:p w14:paraId="16F5E9A0">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7.双方特别约定：遵循“先开票、后付款”的原则，甲方付款前，乙方应按双方确认的应付金额向甲方提供增值税专用发票，并于发票开具后</w:t>
      </w:r>
      <w:permStart w:id="8" w:edGrp="everyone"/>
      <w:r>
        <w:rPr>
          <w:rFonts w:hint="eastAsia" w:ascii="仿宋_GB2312" w:hAnsi="仿宋_GB2312" w:eastAsia="仿宋_GB2312" w:cs="仿宋_GB2312"/>
          <w:color w:val="auto"/>
          <w:sz w:val="28"/>
          <w:szCs w:val="28"/>
          <w:highlight w:val="none"/>
          <w:u w:val="single"/>
          <w:lang w:val="en-US" w:eastAsia="zh-CN"/>
        </w:rPr>
        <w:t xml:space="preserve">  7  </w:t>
      </w:r>
      <w:permEnd w:id="8"/>
      <w:r>
        <w:rPr>
          <w:rFonts w:hint="eastAsia" w:ascii="仿宋_GB2312" w:hAnsi="仿宋_GB2312" w:eastAsia="仿宋_GB2312" w:cs="仿宋_GB2312"/>
          <w:color w:val="auto"/>
          <w:sz w:val="28"/>
          <w:szCs w:val="28"/>
          <w:highlight w:val="none"/>
          <w:lang w:val="en-US" w:eastAsia="zh-CN"/>
        </w:rPr>
        <w:t>日内提交给甲方。甲方收到乙方发票后，按合同约定向乙方付款，否则甲方有权迟延付款。</w:t>
      </w:r>
    </w:p>
    <w:p w14:paraId="2CB26B7D">
      <w:pPr>
        <w:wordWrap w:val="0"/>
        <w:spacing w:line="560" w:lineRule="exact"/>
        <w:ind w:firstLine="560" w:firstLineChars="200"/>
        <w:rPr>
          <w:rFonts w:hint="default"/>
          <w:color w:val="auto"/>
          <w:lang w:val="en-US" w:eastAsia="zh-CN"/>
        </w:rPr>
      </w:pPr>
      <w:r>
        <w:rPr>
          <w:rFonts w:hint="eastAsia" w:ascii="仿宋_GB2312" w:hAnsi="仿宋_GB2312" w:eastAsia="仿宋_GB2312" w:cs="仿宋_GB2312"/>
          <w:color w:val="auto"/>
          <w:sz w:val="28"/>
          <w:szCs w:val="28"/>
          <w:highlight w:val="none"/>
          <w:lang w:val="en-US" w:eastAsia="zh-CN"/>
        </w:rPr>
        <w:t>8.如甲方出现资金困难，乙方同意给予</w:t>
      </w:r>
      <w:permStart w:id="9" w:edGrp="everyone"/>
      <w:r>
        <w:rPr>
          <w:rFonts w:hint="eastAsia" w:ascii="仿宋_GB2312" w:hAnsi="仿宋_GB2312" w:eastAsia="仿宋_GB2312" w:cs="仿宋_GB2312"/>
          <w:color w:val="auto"/>
          <w:sz w:val="28"/>
          <w:szCs w:val="28"/>
          <w:highlight w:val="none"/>
          <w:u w:val="single"/>
          <w:lang w:val="en-US" w:eastAsia="zh-CN"/>
        </w:rPr>
        <w:t xml:space="preserve">  1  </w:t>
      </w:r>
      <w:permEnd w:id="9"/>
      <w:r>
        <w:rPr>
          <w:rFonts w:hint="eastAsia" w:ascii="仿宋_GB2312" w:hAnsi="仿宋_GB2312" w:eastAsia="仿宋_GB2312" w:cs="仿宋_GB2312"/>
          <w:color w:val="auto"/>
          <w:sz w:val="28"/>
          <w:szCs w:val="28"/>
          <w:highlight w:val="none"/>
          <w:lang w:val="en-US" w:eastAsia="zh-CN"/>
        </w:rPr>
        <w:t>个月的付款宽限期，</w:t>
      </w:r>
      <w:bookmarkStart w:id="61" w:name="_Hlk23929813"/>
      <w:r>
        <w:rPr>
          <w:rFonts w:hint="eastAsia" w:ascii="仿宋_GB2312" w:hAnsi="仿宋_GB2312" w:eastAsia="仿宋_GB2312" w:cs="仿宋_GB2312"/>
          <w:color w:val="auto"/>
          <w:sz w:val="28"/>
          <w:szCs w:val="28"/>
          <w:highlight w:val="none"/>
          <w:lang w:val="en-US" w:eastAsia="zh-CN"/>
        </w:rPr>
        <w:t>在此宽限期间内不视为甲方违约且不计息，</w:t>
      </w:r>
      <w:bookmarkEnd w:id="61"/>
      <w:r>
        <w:rPr>
          <w:rFonts w:hint="eastAsia" w:ascii="仿宋_GB2312" w:hAnsi="仿宋_GB2312" w:eastAsia="仿宋_GB2312" w:cs="仿宋_GB2312"/>
          <w:color w:val="auto"/>
          <w:sz w:val="28"/>
          <w:szCs w:val="28"/>
          <w:highlight w:val="none"/>
          <w:lang w:val="en-US" w:eastAsia="zh-CN"/>
        </w:rPr>
        <w:t>乙方不得以此为由中断本项目的货物供应和安装。</w:t>
      </w:r>
    </w:p>
    <w:p w14:paraId="6F09AC4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lang w:val="en-US" w:eastAsia="zh-CN"/>
        </w:rPr>
        <w:t xml:space="preserve">第六条  </w:t>
      </w:r>
      <w:r>
        <w:rPr>
          <w:rFonts w:hint="eastAsia" w:ascii="黑体" w:hAnsi="黑体" w:eastAsia="黑体" w:cs="黑体"/>
          <w:b w:val="0"/>
          <w:bCs/>
          <w:color w:val="auto"/>
          <w:sz w:val="28"/>
          <w:szCs w:val="28"/>
          <w:highlight w:val="none"/>
        </w:rPr>
        <w:t>违约责任</w:t>
      </w:r>
    </w:p>
    <w:p w14:paraId="1FE0610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所交货物种类、型号、规格、花色、包装等不符合同规定的，如甲方同意使用，应按质论价；甲方不同意使用的，乙方应立即无条件的将不合格材料清理出施工现场，所产生的一切费用和由此造成的一切损失由乙方承担。</w:t>
      </w:r>
    </w:p>
    <w:p w14:paraId="0C5EA63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2.乙方不能随车提供质保书等其他单证的，甲方有权拒绝收货，乙方应承担退货等责任和费用，并向甲方支付未提供单证的货款金额的10%的违约金，并承担由此给甲方造成的全部损失。</w:t>
      </w:r>
    </w:p>
    <w:p w14:paraId="52D5DEF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应按约定时间交付符合本合同约定的货物并完成安装，若逾期履行，每逾期一日，乙方应按照逾期交货金额或逾期安装产品金额的20%向甲方支付逾期违约金；如逾期超过7日，则甲方有权解除合同或将乙方未完成的合同内容直接委托第三方继续履行，由第三方履行增加的费用，甲方将直接从乙方材料款中扣除。甲方解除合同的，乙方除应将已收款项返还甲方外，还应按合同总价款的10%向甲方支付违约金。</w:t>
      </w:r>
    </w:p>
    <w:p w14:paraId="30F8E3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所供产品质量、型号等须符合国家质量标准和本合同的要求，否则，甲方可以要求乙方重新补发符合质量标准的货物，乙方还应承担不能按约交货的违约责任。甲方要求解除合同的，乙方除应将已收款项返还甲方外，还应按合同总价款的10%向甲方支付违约金，违约金不足以赔偿损失的，乙方还应做相应赔偿。如果最终用户或第三方根据国内产品责任条款就货物问题向甲方进行索赔，乙方有义务赔偿甲方所面临的全部索赔及费用（包括但不限于各项费用、损失赔偿以及甲方为应诉而支出的律师费、诉讼费等）。</w:t>
      </w:r>
    </w:p>
    <w:p w14:paraId="570E27CA">
      <w:pPr>
        <w:pStyle w:val="2"/>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未按设计及规范要求进行安装，甲方有权制止，并通知其停工整顿。由此造成的工期延误及经济损失，均由乙方负责。安装质量达不到合格标准，乙方应无条件返工至全部合格，还应按合同总价款的10%向甲方支付违约金。</w:t>
      </w:r>
    </w:p>
    <w:p w14:paraId="50B567DF">
      <w:pPr>
        <w:pStyle w:val="2"/>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6.乙方不得擅自停止供货，否则甲方有权重新选择其它供应商，同时乙方承担本合同第一条中含增值税总价30%的违约金，并赔偿给甲方造成的一切损失。</w:t>
      </w:r>
    </w:p>
    <w:p w14:paraId="6DE456B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7.乙方应按合同约定及时向甲方提供增值税专用发票，逾期提供的，每逾期一天，乙方应向甲方支付违约金</w:t>
      </w:r>
      <w:permStart w:id="10" w:edGrp="everyone"/>
      <w:r>
        <w:rPr>
          <w:rFonts w:hint="eastAsia" w:ascii="仿宋_GB2312" w:hAnsi="仿宋_GB2312" w:eastAsia="仿宋_GB2312" w:cs="仿宋_GB2312"/>
          <w:b w:val="0"/>
          <w:bCs w:val="0"/>
          <w:color w:val="auto"/>
          <w:sz w:val="28"/>
          <w:szCs w:val="28"/>
          <w:highlight w:val="none"/>
          <w:u w:val="single"/>
          <w:lang w:val="en-US" w:eastAsia="zh-CN"/>
        </w:rPr>
        <w:t xml:space="preserve"> 1000  </w:t>
      </w:r>
      <w:permEnd w:id="10"/>
      <w:r>
        <w:rPr>
          <w:rFonts w:hint="eastAsia" w:ascii="仿宋_GB2312" w:hAnsi="仿宋_GB2312" w:eastAsia="仿宋_GB2312" w:cs="仿宋_GB2312"/>
          <w:color w:val="auto"/>
          <w:sz w:val="28"/>
          <w:szCs w:val="28"/>
          <w:highlight w:val="none"/>
          <w:lang w:val="en-US" w:eastAsia="zh-CN"/>
        </w:rPr>
        <w:t>元。因乙方开具的增值税专用发票造成甲方无法及时认证、抵扣税款等情形的，乙方需向甲方承担赔偿责任包括但不限于税款、滞纳金、罚款及相关损失等。</w:t>
      </w:r>
    </w:p>
    <w:p w14:paraId="6E6C410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8.为了保障物资供应，甲方有权向任意第三方采购本合同约定的货物，乙方对此明知且认可，乙方不得以此要求甲方承担任何违约责任。</w:t>
      </w:r>
    </w:p>
    <w:p w14:paraId="0A2C60B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9.乙方违反本合同义务，致使甲方通过法律途径向乙方主张权利的，乙方除应承担相应赔偿及费用外，还应承担甲方为此而支出的律师费、诉讼费等。</w:t>
      </w:r>
    </w:p>
    <w:p w14:paraId="5C3A6FB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10.对于乙方因违反本合同约定需支付的违约金，甲方有权在应付货款中直接予以扣除。</w:t>
      </w:r>
    </w:p>
    <w:p w14:paraId="3290673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11.禁止转包分包</w:t>
      </w:r>
    </w:p>
    <w:p w14:paraId="6B158617">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鉴于保护合同双方权益及确保工程质量和进度，双方明确以下转包分包相关事项:</w:t>
      </w:r>
    </w:p>
    <w:p w14:paraId="3D67154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（1）乙方不得将本合同项下的任何部分工程转包或分包给任何第三方。如有特殊情况，必须经甲方书面同意。</w:t>
      </w:r>
    </w:p>
    <w:p w14:paraId="12709AC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（2）若乙方未经甲方同意擅自转包或分包 ,甲方有权立即终止本合同并要求乙方承担由此造成的一切损失。</w:t>
      </w:r>
    </w:p>
    <w:p w14:paraId="0C7DAE64">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（3）乙方与任何第三方签订的与本合同相关的协议或承诺书 ,对甲方不具有法律约束力，除非得到甲方的书面确认。</w:t>
      </w:r>
    </w:p>
    <w:p w14:paraId="3D2EE18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（4）甲方有权对乙方的工程实施情况进行监督 ,乙方应配合并提供必要的便利条件。如发现乙方存在违法转包分包行为，甲方有权采取法律手段维护自身权益。</w:t>
      </w:r>
    </w:p>
    <w:p w14:paraId="01B71394">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七</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其他约定</w:t>
      </w:r>
    </w:p>
    <w:p w14:paraId="7AF58C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1.乙方送货车辆到甲方现场后，在行驶和卸货过程中，乙方驾驶人员应自行察看周围地形，乙方车辆在甲方现场若出现事故产生损失或造成对第三人侵权等其他情形，一切损失和责任均由乙方自行承担。</w:t>
      </w:r>
    </w:p>
    <w:p w14:paraId="2FEA918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必须服从甲方指定项目部的全面协调管理工作，乙方应确保货物到现场装卸过程中的安全，严格遵守执行安全操作规范、防火规定、工艺规范等规范规定以及质量标准，对在装卸过程中发生的任何财产或人身损害承担赔偿责任。</w:t>
      </w:r>
    </w:p>
    <w:p w14:paraId="43FF0AFB">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要保证项目的施工质量和施工进度，不得拖延进度，如因乙方造成工期拖延，乙方将承担给甲方造成的一切损失。乙方应保证甲方项目施工现场整洁，应做好成品保护及甲方财产保护工作。乙方应确保安装调试过程中的安全，对因安装调试发生的任何财产或人身损害承担赔偿责任。</w:t>
      </w:r>
    </w:p>
    <w:p w14:paraId="6807CC0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必须保证甲方在使用乙方提供的货物时，不存在任何不合法的情形，也不存在与第三方专利权、著作权、商标权等相关的任何争议，如果有任何因甲方使用乙方提供的货物而提起的侵权指控，或供应假冒伪劣货物，乙方依法承担全部责任。</w:t>
      </w:r>
    </w:p>
    <w:p w14:paraId="08A79693">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color w:val="auto"/>
          <w:lang w:val="en-US" w:eastAsia="zh-CN"/>
        </w:rPr>
      </w:pPr>
      <w:r>
        <w:rPr>
          <w:rFonts w:hint="eastAsia" w:ascii="仿宋_GB2312" w:hAnsi="仿宋_GB2312" w:eastAsia="仿宋_GB2312" w:cs="仿宋_GB2312"/>
          <w:color w:val="auto"/>
          <w:sz w:val="28"/>
          <w:szCs w:val="28"/>
          <w:highlight w:val="none"/>
          <w:lang w:val="en-US" w:eastAsia="zh-CN"/>
        </w:rPr>
        <w:t>5.本合同中所涉及的债权，乙方不得转让，也不得用于任何形式的担保。若乙方擅自转让或用于担保的，则该行为无效，乙方应赔偿甲方因此受到的全部损失。</w:t>
      </w:r>
    </w:p>
    <w:p w14:paraId="408F7B06">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八</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争议解决方式</w:t>
      </w:r>
    </w:p>
    <w:p w14:paraId="32168057">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在履行合同期间发生纠纷，先由双方协商解决，协商不成，双方约定向甲方所在地人民法院提起诉讼。</w:t>
      </w:r>
    </w:p>
    <w:p w14:paraId="4920E14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lang w:val="en-US" w:eastAsia="zh-CN"/>
        </w:rPr>
      </w:pPr>
      <w:r>
        <w:rPr>
          <w:rFonts w:hint="eastAsia" w:ascii="黑体" w:hAnsi="黑体" w:eastAsia="黑体" w:cs="黑体"/>
          <w:color w:val="auto"/>
          <w:sz w:val="28"/>
          <w:szCs w:val="28"/>
          <w:highlight w:val="none"/>
          <w:lang w:val="en-US" w:eastAsia="zh-CN"/>
        </w:rPr>
        <w:t>第</w:t>
      </w:r>
      <w:r>
        <w:rPr>
          <w:rFonts w:hint="eastAsia" w:ascii="黑体" w:hAnsi="黑体" w:eastAsia="黑体" w:cs="黑体"/>
          <w:b w:val="0"/>
          <w:bCs/>
          <w:color w:val="auto"/>
          <w:sz w:val="28"/>
          <w:szCs w:val="28"/>
          <w:highlight w:val="none"/>
          <w:lang w:val="en-US" w:eastAsia="zh-CN"/>
        </w:rPr>
        <w:t>九条</w:t>
      </w:r>
    </w:p>
    <w:p w14:paraId="4807B79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1.本合同未尽事宜，由双方另行协商解决并签订补充协议。</w:t>
      </w:r>
    </w:p>
    <w:p w14:paraId="3726BC8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2.本合同自甲乙双方签字和盖章之日起生效。</w:t>
      </w:r>
    </w:p>
    <w:p w14:paraId="7DF6374D">
      <w:pPr>
        <w:pStyle w:val="2"/>
        <w:keepNext w:val="0"/>
        <w:keepLines w:val="0"/>
        <w:pageBreakBefore w:val="0"/>
        <w:kinsoku/>
        <w:overflowPunct/>
        <w:autoSpaceDE/>
        <w:autoSpaceDN/>
        <w:bidi w:val="0"/>
        <w:adjustRightInd/>
        <w:snapToGrid/>
        <w:spacing w:line="560" w:lineRule="exact"/>
        <w:ind w:firstLine="560" w:firstLineChars="200"/>
        <w:jc w:val="both"/>
        <w:rPr>
          <w:rFonts w:hint="eastAsia"/>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3.本合同一式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4D3793A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附件：1.廉政合同</w:t>
      </w:r>
    </w:p>
    <w:p w14:paraId="6DE22DE6">
      <w:pPr>
        <w:pStyle w:val="19"/>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default"/>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2.安全生产合同</w:t>
      </w:r>
    </w:p>
    <w:p w14:paraId="45BD0C9B">
      <w:pPr>
        <w:pStyle w:val="19"/>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3.报价清单</w:t>
      </w:r>
    </w:p>
    <w:p w14:paraId="1E98E504">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（以下无正文）</w:t>
      </w:r>
    </w:p>
    <w:p w14:paraId="32050439">
      <w:pPr>
        <w:bidi w:val="0"/>
        <w:rPr>
          <w:rFonts w:hint="eastAsia"/>
          <w:color w:val="auto"/>
          <w:highlight w:val="none"/>
          <w:lang w:val="en-US" w:eastAsia="zh-CN"/>
        </w:rPr>
      </w:pPr>
    </w:p>
    <w:p w14:paraId="13E2C6B5">
      <w:pPr>
        <w:pStyle w:val="2"/>
        <w:bidi w:val="0"/>
        <w:rPr>
          <w:rFonts w:hint="eastAsia"/>
          <w:color w:val="auto"/>
          <w:highlight w:val="none"/>
          <w:lang w:val="en-US" w:eastAsia="zh-CN"/>
        </w:rPr>
      </w:pPr>
    </w:p>
    <w:p w14:paraId="73DF31A7">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color w:val="auto"/>
          <w:highlight w:val="none"/>
          <w:u w:val="none"/>
          <w:lang w:val="en-US" w:eastAsia="zh-CN"/>
        </w:rPr>
      </w:pPr>
      <w:permStart w:id="11" w:edGrp="everyone"/>
      <w:r>
        <w:rPr>
          <w:rFonts w:hint="eastAsia" w:ascii="仿宋_GB2312" w:hAnsi="仿宋_GB2312" w:eastAsia="仿宋_GB2312" w:cs="仿宋_GB2312"/>
          <w:color w:val="auto"/>
          <w:sz w:val="28"/>
          <w:szCs w:val="28"/>
          <w:highlight w:val="none"/>
          <w:lang w:val="en-US" w:eastAsia="zh-CN"/>
        </w:rPr>
        <w:t>甲方：</w:t>
      </w:r>
      <w:r>
        <w:rPr>
          <w:rFonts w:hint="eastAsia" w:ascii="仿宋_GB2312" w:hAnsi="仿宋_GB2312" w:eastAsia="仿宋_GB2312" w:cs="仿宋_GB2312"/>
          <w:color w:val="auto"/>
          <w:sz w:val="28"/>
          <w:szCs w:val="28"/>
          <w:highlight w:val="none"/>
          <w:u w:val="none"/>
          <w:lang w:val="en-US" w:eastAsia="zh-CN"/>
        </w:rPr>
        <w:t>安徽省经工物资有限公司</w:t>
      </w:r>
      <w:r>
        <w:rPr>
          <w:rFonts w:hint="eastAsia" w:ascii="仿宋_GB2312" w:hAnsi="仿宋_GB2312" w:eastAsia="仿宋_GB2312" w:cs="仿宋_GB2312"/>
          <w:color w:val="auto"/>
          <w:sz w:val="28"/>
          <w:szCs w:val="28"/>
          <w:highlight w:val="none"/>
          <w:lang w:val="en-US" w:eastAsia="zh-CN"/>
        </w:rPr>
        <w:t xml:space="preserve">        乙方：</w:t>
      </w:r>
      <w:r>
        <w:rPr>
          <w:rFonts w:hint="eastAsia" w:ascii="仿宋_GB2312" w:hAnsi="仿宋_GB2312" w:eastAsia="仿宋_GB2312" w:cs="仿宋_GB2312"/>
          <w:color w:val="auto"/>
          <w:sz w:val="28"/>
          <w:szCs w:val="28"/>
          <w:highlight w:val="none"/>
          <w:u w:val="none"/>
          <w:lang w:val="en-US" w:eastAsia="zh-CN"/>
        </w:rPr>
        <w:t xml:space="preserve">  </w:t>
      </w:r>
    </w:p>
    <w:p w14:paraId="3DBB9C56">
      <w:pPr>
        <w:keepNext w:val="0"/>
        <w:keepLines w:val="0"/>
        <w:pageBreakBefore w:val="0"/>
        <w:widowControl w:val="0"/>
        <w:kinsoku/>
        <w:wordWrap w:val="0"/>
        <w:overflowPunct/>
        <w:topLinePunct w:val="0"/>
        <w:autoSpaceDE/>
        <w:autoSpaceDN/>
        <w:bidi w:val="0"/>
        <w:adjustRightInd/>
        <w:snapToGrid/>
        <w:spacing w:line="560" w:lineRule="exact"/>
        <w:ind w:firstLine="2800" w:firstLineChars="10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（盖章）                          （盖章）</w:t>
      </w:r>
    </w:p>
    <w:p w14:paraId="1194E362">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法定代表人或                        法定代表人或</w:t>
      </w:r>
    </w:p>
    <w:p w14:paraId="393E60E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授权委托人（签字）：                 授权委托人（签字）：</w:t>
      </w:r>
    </w:p>
    <w:p w14:paraId="25E9561E">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纳税识别号：91340100MA2MY6GA6E      纳税识别号:</w:t>
      </w:r>
    </w:p>
    <w:p w14:paraId="61A42EBA">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地址：安徽省合肥市蜀山区甘泉路      地址：</w:t>
      </w:r>
    </w:p>
    <w:p w14:paraId="79DC59D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398号                               </w:t>
      </w:r>
    </w:p>
    <w:p w14:paraId="33A5BA6D">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开户银行：工行合肥蜀山支行          开户银行：</w:t>
      </w:r>
    </w:p>
    <w:p w14:paraId="728F5BBC">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账号：1302012119200034038           账号：</w:t>
      </w:r>
    </w:p>
    <w:p w14:paraId="4C1A0C4A">
      <w:pPr>
        <w:pStyle w:val="2"/>
        <w:rPr>
          <w:rFonts w:hint="default"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 xml:space="preserve">电子邮件：    </w:t>
      </w:r>
      <w:r>
        <w:rPr>
          <w:rFonts w:hint="eastAsia"/>
          <w:color w:val="auto"/>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电子邮件：</w:t>
      </w:r>
    </w:p>
    <w:p w14:paraId="520A1C01">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年   月  日                         年   月   日</w:t>
      </w:r>
    </w:p>
    <w:permEnd w:id="11"/>
    <w:p w14:paraId="2ED512F6">
      <w:pPr>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pacing w:val="0"/>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br w:type="page"/>
      </w:r>
    </w:p>
    <w:p w14:paraId="73285893">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color w:val="auto"/>
          <w:spacing w:val="0"/>
          <w:sz w:val="28"/>
          <w:szCs w:val="28"/>
          <w:highlight w:val="none"/>
          <w:lang w:val="en-US" w:eastAsia="zh-CN"/>
        </w:rPr>
      </w:pPr>
      <w:r>
        <w:rPr>
          <w:rFonts w:hint="eastAsia" w:ascii="仿宋_GB2312" w:hAnsi="仿宋_GB2312" w:eastAsia="仿宋_GB2312" w:cs="仿宋_GB2312"/>
          <w:b/>
          <w:bCs/>
          <w:color w:val="auto"/>
          <w:spacing w:val="0"/>
          <w:sz w:val="28"/>
          <w:szCs w:val="28"/>
          <w:highlight w:val="none"/>
          <w:lang w:val="en-US" w:eastAsia="zh-CN"/>
        </w:rPr>
        <w:t>附件1：</w:t>
      </w:r>
    </w:p>
    <w:p w14:paraId="21EA67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bCs/>
          <w:color w:val="auto"/>
          <w:spacing w:val="0"/>
          <w:sz w:val="44"/>
          <w:szCs w:val="44"/>
          <w:highlight w:val="none"/>
          <w:lang w:val="en-US" w:eastAsia="zh-CN"/>
        </w:rPr>
      </w:pPr>
      <w:r>
        <w:rPr>
          <w:rFonts w:hint="eastAsia" w:ascii="方正小标宋简体" w:hAnsi="方正小标宋简体" w:eastAsia="方正小标宋简体" w:cs="方正小标宋简体"/>
          <w:b/>
          <w:bCs/>
          <w:color w:val="auto"/>
          <w:spacing w:val="0"/>
          <w:sz w:val="44"/>
          <w:szCs w:val="44"/>
          <w:highlight w:val="none"/>
          <w:lang w:val="en-US" w:eastAsia="zh-CN"/>
        </w:rPr>
        <w:t>廉 政 合 同</w:t>
      </w:r>
    </w:p>
    <w:p w14:paraId="06713E65">
      <w:pPr>
        <w:pStyle w:val="2"/>
        <w:keepNext w:val="0"/>
        <w:keepLines w:val="0"/>
        <w:pageBreakBefore w:val="0"/>
        <w:kinsoku/>
        <w:overflowPunct/>
        <w:autoSpaceDE/>
        <w:autoSpaceDN/>
        <w:bidi w:val="0"/>
        <w:adjustRightInd/>
        <w:snapToGrid/>
        <w:spacing w:line="560" w:lineRule="exact"/>
        <w:ind w:firstLine="422" w:firstLineChars="200"/>
        <w:jc w:val="both"/>
        <w:rPr>
          <w:rFonts w:hint="eastAsia"/>
          <w:b/>
          <w:bCs/>
          <w:color w:val="auto"/>
          <w:highlight w:val="none"/>
          <w:lang w:val="en-US" w:eastAsia="zh-CN"/>
        </w:rPr>
      </w:pPr>
    </w:p>
    <w:p w14:paraId="2E90DA7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t xml:space="preserve">为抓好物资设备等采购供应中的党风廉政建设，规范、约束采供双方行为，确保双方工作人员廉洁从业， </w:t>
      </w:r>
      <w:permStart w:id="12"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2"/>
      <w:r>
        <w:rPr>
          <w:rFonts w:hint="eastAsia" w:ascii="仿宋_GB2312" w:hAnsi="仿宋_GB2312" w:eastAsia="仿宋_GB2312" w:cs="仿宋_GB2312"/>
          <w:color w:val="auto"/>
          <w:sz w:val="28"/>
          <w:szCs w:val="28"/>
          <w:highlight w:val="none"/>
          <w:lang w:val="en-US" w:eastAsia="zh-CN"/>
        </w:rPr>
        <w:t>（项目名称）的采购人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3" w:edGrp="everyone"/>
      <w:r>
        <w:rPr>
          <w:rFonts w:hint="eastAsia" w:ascii="仿宋_GB2312" w:hAnsi="仿宋_GB2312" w:eastAsia="仿宋_GB2312" w:cs="仿宋_GB2312"/>
          <w:color w:val="auto"/>
          <w:sz w:val="28"/>
          <w:szCs w:val="28"/>
          <w:highlight w:val="none"/>
          <w:u w:val="single"/>
          <w:lang w:val="en-US" w:eastAsia="zh-CN"/>
        </w:rPr>
        <w:t xml:space="preserve">               </w:t>
      </w:r>
      <w:permEnd w:id="13"/>
      <w:r>
        <w:rPr>
          <w:rFonts w:hint="eastAsia" w:ascii="仿宋_GB2312" w:hAnsi="仿宋_GB2312" w:eastAsia="仿宋_GB2312" w:cs="仿宋_GB2312"/>
          <w:color w:val="auto"/>
          <w:sz w:val="28"/>
          <w:szCs w:val="28"/>
          <w:highlight w:val="none"/>
          <w:lang w:val="en-US" w:eastAsia="zh-CN"/>
        </w:rPr>
        <w:t>（供货商名称，以下简称乙方），特订立如下合同。</w:t>
      </w:r>
    </w:p>
    <w:p w14:paraId="2BF35B7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rPr>
        <w:t>甲乙双方的权利和义务</w:t>
      </w:r>
    </w:p>
    <w:p w14:paraId="28877D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严格遵守党</w:t>
      </w:r>
      <w:r>
        <w:rPr>
          <w:rFonts w:hint="eastAsia" w:ascii="仿宋_GB2312" w:hAnsi="仿宋_GB2312" w:eastAsia="仿宋_GB2312" w:cs="仿宋_GB2312"/>
          <w:color w:val="auto"/>
          <w:sz w:val="28"/>
          <w:szCs w:val="28"/>
          <w:highlight w:val="none"/>
          <w:lang w:val="en-US" w:eastAsia="zh-CN"/>
        </w:rPr>
        <w:t>的政策</w:t>
      </w:r>
      <w:r>
        <w:rPr>
          <w:rFonts w:hint="eastAsia" w:ascii="仿宋_GB2312" w:hAnsi="仿宋_GB2312" w:eastAsia="仿宋_GB2312" w:cs="仿宋_GB2312"/>
          <w:color w:val="auto"/>
          <w:sz w:val="28"/>
          <w:szCs w:val="28"/>
          <w:highlight w:val="none"/>
        </w:rPr>
        <w:t>和国家有关法律</w:t>
      </w:r>
      <w:r>
        <w:rPr>
          <w:rFonts w:hint="eastAsia" w:ascii="仿宋_GB2312" w:hAnsi="仿宋_GB2312" w:eastAsia="仿宋_GB2312" w:cs="仿宋_GB2312"/>
          <w:color w:val="auto"/>
          <w:sz w:val="28"/>
          <w:szCs w:val="28"/>
          <w:highlight w:val="none"/>
          <w:lang w:val="en-US" w:eastAsia="zh-CN"/>
        </w:rPr>
        <w:t>法规的</w:t>
      </w:r>
      <w:r>
        <w:rPr>
          <w:rFonts w:hint="eastAsia" w:ascii="仿宋_GB2312" w:hAnsi="仿宋_GB2312" w:eastAsia="仿宋_GB2312" w:cs="仿宋_GB2312"/>
          <w:color w:val="auto"/>
          <w:sz w:val="28"/>
          <w:szCs w:val="28"/>
          <w:highlight w:val="none"/>
        </w:rPr>
        <w:t>有关规定。</w:t>
      </w:r>
    </w:p>
    <w:p w14:paraId="6C6B098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严格执行</w:t>
      </w:r>
      <w:permStart w:id="14" w:edGrp="everyone"/>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single"/>
        </w:rPr>
        <w:t xml:space="preserve"> </w:t>
      </w:r>
      <w:permEnd w:id="14"/>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rPr>
        <w:t>合同文件</w:t>
      </w:r>
      <w:r>
        <w:rPr>
          <w:rFonts w:hint="eastAsia" w:ascii="仿宋_GB2312" w:hAnsi="仿宋_GB2312" w:eastAsia="仿宋_GB2312" w:cs="仿宋_GB2312"/>
          <w:color w:val="auto"/>
          <w:sz w:val="28"/>
          <w:szCs w:val="28"/>
          <w:highlight w:val="none"/>
          <w:u w:val="none"/>
          <w:lang w:val="en-US" w:eastAsia="zh-CN"/>
        </w:rPr>
        <w:t>名称</w:t>
      </w:r>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lang w:val="en-US" w:eastAsia="zh-CN"/>
        </w:rPr>
        <w:t>合同文件</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rPr>
        <w:t>自觉按合同办事。</w:t>
      </w:r>
    </w:p>
    <w:p w14:paraId="204846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双方的业务活动坚持公开、公正、诚信、透明的原则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法律认定的商业秘密和合同文件另有规定除外</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，不得损害国家和集体利益。</w:t>
      </w:r>
    </w:p>
    <w:p w14:paraId="27BE997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建立健全廉政制度，开展廉政教育和廉洁文化建设</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公布举报电话，监督并认真查处</w:t>
      </w:r>
      <w:r>
        <w:rPr>
          <w:rFonts w:hint="eastAsia" w:ascii="仿宋_GB2312" w:hAnsi="仿宋_GB2312" w:eastAsia="仿宋_GB2312" w:cs="仿宋_GB2312"/>
          <w:color w:val="auto"/>
          <w:sz w:val="28"/>
          <w:szCs w:val="28"/>
          <w:highlight w:val="none"/>
          <w:lang w:val="en-US" w:eastAsia="zh-CN"/>
        </w:rPr>
        <w:t>违规</w:t>
      </w:r>
      <w:r>
        <w:rPr>
          <w:rFonts w:hint="eastAsia" w:ascii="仿宋_GB2312" w:hAnsi="仿宋_GB2312" w:eastAsia="仿宋_GB2312" w:cs="仿宋_GB2312"/>
          <w:color w:val="auto"/>
          <w:sz w:val="28"/>
          <w:szCs w:val="28"/>
          <w:highlight w:val="none"/>
        </w:rPr>
        <w:t>违纪违法行为。</w:t>
      </w:r>
    </w:p>
    <w:p w14:paraId="5961C79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发现对方在业务活动中有违反廉政规定的行为，有及时提醒对方纠正的权利和义务。</w:t>
      </w:r>
    </w:p>
    <w:p w14:paraId="0432F04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6</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发现对方严重违反本合同义务条款的行为，有向有关部门举报、建议给予处理并要求告知处理结果的权利。</w:t>
      </w:r>
    </w:p>
    <w:p w14:paraId="2677FF2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2.甲方的义务</w:t>
      </w:r>
    </w:p>
    <w:p w14:paraId="0E105A4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（1）甲方及其工作人员不得利用职务之便索要或接受乙方的礼品、礼金、消费卡和有价证券、股权、其他金融产品等财物。</w:t>
      </w:r>
    </w:p>
    <w:p w14:paraId="6DA86DA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（2）甲方及其工作人员不得在利用职务之便为乙方谋取利益之前或之后，约定在其离职后收受乙方财物，并在离职后收受。</w:t>
      </w:r>
    </w:p>
    <w:p w14:paraId="3DFA0E0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（3）甲方及其工作人员不得在乙方报销应由甲方或个人支付的费用等。</w:t>
      </w:r>
    </w:p>
    <w:p w14:paraId="1B91B27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（4）甲方及其工作人员不得要求或者接受乙方可能影响公正执行公务的宴请以及旅游、健身、娱乐等活动安排，</w:t>
      </w:r>
      <w:r>
        <w:rPr>
          <w:rFonts w:hint="eastAsia" w:ascii="仿宋_GB2312" w:hAnsi="仿宋_GB2312" w:eastAsia="仿宋_GB2312" w:cs="仿宋_GB2312"/>
          <w:color w:val="auto"/>
          <w:sz w:val="28"/>
          <w:szCs w:val="28"/>
          <w:highlight w:val="none"/>
          <w:u w:val="none"/>
          <w:lang w:val="en-US" w:eastAsia="zh-CN"/>
        </w:rPr>
        <w:t>不得要求和接受乙方提供的交通工具、通讯工具、高档办公用品等。</w:t>
      </w:r>
    </w:p>
    <w:p w14:paraId="646019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1507000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（6）甲方及其工作人员不得要求乙方购买合同规定外的材料和设备。    </w:t>
      </w:r>
    </w:p>
    <w:p w14:paraId="33953C0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（7）甲方及其工作人员不得有其他可能影响廉洁从业的行为。</w:t>
      </w:r>
    </w:p>
    <w:p w14:paraId="6FC6431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3.乙方的义务</w:t>
      </w:r>
    </w:p>
    <w:p w14:paraId="0180A99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（1）乙方及其工作人员不得以任何形式向甲方及其工作人员行贿或馈赠礼品、礼金、消费卡和有价证券、股权、其他金融产品等财物，以及回扣、好处费、感谢费等。</w:t>
      </w:r>
    </w:p>
    <w:p w14:paraId="37F9396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乙方及其工作人员不得与甲方及其工作人员约定，甲方及其工作人员</w:t>
      </w:r>
      <w:r>
        <w:rPr>
          <w:rFonts w:hint="eastAsia" w:ascii="仿宋_GB2312" w:hAnsi="仿宋_GB2312" w:eastAsia="仿宋_GB2312" w:cs="仿宋_GB2312"/>
          <w:color w:val="auto"/>
          <w:sz w:val="28"/>
          <w:szCs w:val="28"/>
          <w:highlight w:val="none"/>
          <w:lang w:eastAsia="zh-CN"/>
        </w:rPr>
        <w:t>利用职务之便为乙方谋取利益，</w:t>
      </w:r>
      <w:r>
        <w:rPr>
          <w:rFonts w:hint="eastAsia" w:ascii="仿宋_GB2312" w:hAnsi="仿宋_GB2312" w:eastAsia="仿宋_GB2312" w:cs="仿宋_GB2312"/>
          <w:color w:val="auto"/>
          <w:sz w:val="28"/>
          <w:szCs w:val="28"/>
          <w:highlight w:val="none"/>
          <w:lang w:val="en-US" w:eastAsia="zh-CN"/>
        </w:rPr>
        <w:t>乙方</w:t>
      </w:r>
      <w:r>
        <w:rPr>
          <w:rFonts w:hint="eastAsia" w:ascii="仿宋_GB2312" w:hAnsi="仿宋_GB2312" w:eastAsia="仿宋_GB2312" w:cs="仿宋_GB2312"/>
          <w:color w:val="auto"/>
          <w:sz w:val="28"/>
          <w:szCs w:val="28"/>
          <w:highlight w:val="none"/>
          <w:lang w:eastAsia="zh-CN"/>
        </w:rPr>
        <w:t>在其离职后</w:t>
      </w:r>
      <w:r>
        <w:rPr>
          <w:rFonts w:hint="eastAsia" w:ascii="仿宋_GB2312" w:hAnsi="仿宋_GB2312" w:eastAsia="仿宋_GB2312" w:cs="仿宋_GB2312"/>
          <w:color w:val="auto"/>
          <w:sz w:val="28"/>
          <w:szCs w:val="28"/>
          <w:highlight w:val="none"/>
          <w:lang w:val="en-US" w:eastAsia="zh-CN"/>
        </w:rPr>
        <w:t>给予</w:t>
      </w:r>
      <w:r>
        <w:rPr>
          <w:rFonts w:hint="eastAsia" w:ascii="仿宋_GB2312" w:hAnsi="仿宋_GB2312" w:eastAsia="仿宋_GB2312" w:cs="仿宋_GB2312"/>
          <w:color w:val="auto"/>
          <w:sz w:val="28"/>
          <w:szCs w:val="28"/>
          <w:highlight w:val="none"/>
          <w:lang w:eastAsia="zh-CN"/>
        </w:rPr>
        <w:t>财物。</w:t>
      </w:r>
    </w:p>
    <w:p w14:paraId="0AA7A01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（3）乙方不得以任何名义为甲方及其工作人员报销由甲方单位或个人支付的任何费用。</w:t>
      </w:r>
    </w:p>
    <w:p w14:paraId="72AD2F0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（4）乙方及其工作人员不得以任何理由邀请甲方工作人员参与可能影响公正执行公务的宴请以及旅游、健身、娱乐等活动。</w:t>
      </w:r>
      <w:r>
        <w:rPr>
          <w:rFonts w:hint="eastAsia" w:ascii="仿宋_GB2312" w:hAnsi="仿宋_GB2312" w:eastAsia="仿宋_GB2312" w:cs="仿宋_GB2312"/>
          <w:color w:val="auto"/>
          <w:sz w:val="28"/>
          <w:szCs w:val="28"/>
          <w:highlight w:val="none"/>
          <w:u w:val="none"/>
          <w:lang w:val="en-US" w:eastAsia="zh-CN"/>
        </w:rPr>
        <w:t>不得为甲方单位和个人购置或提供通讯工具、交通工具和高档办公用品等。</w:t>
      </w:r>
    </w:p>
    <w:p w14:paraId="040B7B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（5）乙方及其工作人员不得为甲方工作人员住房装修、婚丧嫁娶、出国出境、旅游等提供方便；不得为甲方工作人员的特定关系人以安排工作为名，使其不实际工作却获取薪酬。</w:t>
      </w:r>
    </w:p>
    <w:p w14:paraId="7F74B4D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（6）乙方及其工作人员不得有其他可能影响廉洁从业的行为。</w:t>
      </w:r>
    </w:p>
    <w:p w14:paraId="6301BC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4.违约责任</w:t>
      </w:r>
    </w:p>
    <w:p w14:paraId="73A1109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（1）甲方及其工作人员违反本合同第1、2条，按管理权限，依据有关规定给予党纪政务处分和组织处理；涉嫌犯罪的，移交司法机关追究刑事责任；给乙方单位造成经济损失的，应予以赔偿。</w:t>
      </w:r>
    </w:p>
    <w:p w14:paraId="4A6A042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（2）乙方及其工作人员违反本合同第1、3条，按管理权限，依据有关规定，给予相关处理；给甲方单位造成经济损失的，应予以赔偿。</w:t>
      </w:r>
    </w:p>
    <w:p w14:paraId="186770F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5.本合同有效期为甲乙双方签署之日起至该供货合同履行完毕后止。</w:t>
      </w:r>
    </w:p>
    <w:p w14:paraId="70377D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6.本合同作为</w:t>
      </w:r>
      <w:permStart w:id="15" w:edGrp="everyone"/>
      <w:r>
        <w:rPr>
          <w:rFonts w:hint="eastAsia" w:ascii="仿宋_GB2312" w:hAnsi="仿宋_GB2312" w:eastAsia="仿宋_GB2312" w:cs="仿宋_GB2312"/>
          <w:color w:val="auto"/>
          <w:sz w:val="28"/>
          <w:szCs w:val="28"/>
          <w:highlight w:val="none"/>
          <w:u w:val="single"/>
          <w:lang w:val="en-US" w:eastAsia="zh-CN"/>
        </w:rPr>
        <w:t xml:space="preserve">                             </w:t>
      </w:r>
      <w:permEnd w:id="15"/>
      <w:r>
        <w:rPr>
          <w:rFonts w:hint="eastAsia" w:ascii="仿宋_GB2312" w:hAnsi="仿宋_GB2312" w:eastAsia="仿宋_GB2312" w:cs="仿宋_GB2312"/>
          <w:color w:val="auto"/>
          <w:sz w:val="28"/>
          <w:szCs w:val="28"/>
          <w:highlight w:val="none"/>
          <w:lang w:val="en-US" w:eastAsia="zh-CN"/>
        </w:rPr>
        <w:t>（合同文件名称）的附件，与采购合同具有同等的法律效力，经合同双方签署立即生效。</w:t>
      </w:r>
    </w:p>
    <w:p w14:paraId="060665C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val="en-US" w:eastAsia="zh-CN"/>
        </w:rPr>
        <w:t>7.本合同一式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0C76914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1938AE6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3BDA304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盖章</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7DEFB3C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法定代表人</w:t>
      </w:r>
      <w:r>
        <w:rPr>
          <w:rFonts w:hint="eastAsia" w:ascii="仿宋_GB2312" w:hAnsi="仿宋_GB2312" w:eastAsia="仿宋_GB2312" w:cs="仿宋_GB2312"/>
          <w:color w:val="auto"/>
          <w:sz w:val="28"/>
          <w:szCs w:val="28"/>
          <w:highlight w:val="none"/>
          <w:lang w:val="en-US" w:eastAsia="zh-CN"/>
        </w:rPr>
        <w:t>或</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法定代表</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rPr>
        <w:t>或</w:t>
      </w:r>
    </w:p>
    <w:p w14:paraId="4A924C9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1C5CC432">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年   月   日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年   月   日</w:t>
      </w:r>
    </w:p>
    <w:p w14:paraId="7A06A240">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
    <w:p w14:paraId="744ACC02">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2</w:t>
      </w:r>
      <w:r>
        <w:rPr>
          <w:rFonts w:hint="eastAsia" w:ascii="仿宋_GB2312" w:hAnsi="仿宋_GB2312" w:eastAsia="仿宋_GB2312" w:cs="仿宋_GB2312"/>
          <w:b/>
          <w:color w:val="auto"/>
          <w:sz w:val="28"/>
          <w:szCs w:val="28"/>
          <w:highlight w:val="none"/>
        </w:rPr>
        <w:t>：</w:t>
      </w:r>
    </w:p>
    <w:p w14:paraId="78BB26C4">
      <w:pPr>
        <w:keepNext w:val="0"/>
        <w:keepLines w:val="0"/>
        <w:pageBreakBefore w:val="0"/>
        <w:widowControl w:val="0"/>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color w:val="auto"/>
          <w:sz w:val="44"/>
          <w:szCs w:val="44"/>
          <w:highlight w:val="none"/>
        </w:rPr>
      </w:pPr>
      <w:r>
        <w:rPr>
          <w:rFonts w:hint="eastAsia" w:ascii="方正小标宋简体" w:hAnsi="方正小标宋简体" w:eastAsia="方正小标宋简体" w:cs="方正小标宋简体"/>
          <w:b/>
          <w:color w:val="auto"/>
          <w:sz w:val="44"/>
          <w:szCs w:val="44"/>
          <w:highlight w:val="none"/>
        </w:rPr>
        <w:t>安全生产合同</w:t>
      </w:r>
    </w:p>
    <w:p w14:paraId="7DBAF322">
      <w:pPr>
        <w:pStyle w:val="2"/>
        <w:keepNext w:val="0"/>
        <w:keepLines w:val="0"/>
        <w:pageBreakBefore w:val="0"/>
        <w:kinsoku/>
        <w:overflowPunct/>
        <w:autoSpaceDE/>
        <w:autoSpaceDN/>
        <w:bidi w:val="0"/>
        <w:adjustRightInd/>
        <w:snapToGrid/>
        <w:spacing w:line="560" w:lineRule="exact"/>
        <w:ind w:firstLine="420" w:firstLineChars="200"/>
        <w:jc w:val="both"/>
        <w:rPr>
          <w:rFonts w:hint="eastAsia"/>
          <w:color w:val="auto"/>
          <w:highlight w:val="none"/>
        </w:rPr>
      </w:pPr>
    </w:p>
    <w:p w14:paraId="4BFF881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为在</w:t>
      </w:r>
      <w:r>
        <w:rPr>
          <w:rFonts w:hint="eastAsia" w:ascii="仿宋_GB2312" w:hAnsi="仿宋_GB2312" w:eastAsia="仿宋_GB2312" w:cs="仿宋_GB2312"/>
          <w:color w:val="auto"/>
          <w:spacing w:val="0"/>
          <w:sz w:val="28"/>
          <w:szCs w:val="28"/>
          <w:highlight w:val="none"/>
          <w:lang w:val="en-US" w:eastAsia="zh-CN"/>
        </w:rPr>
        <w:t xml:space="preserve"> </w:t>
      </w:r>
      <w:permStart w:id="16"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6"/>
      <w:r>
        <w:rPr>
          <w:rFonts w:hint="eastAsia" w:ascii="仿宋_GB2312" w:hAnsi="仿宋_GB2312" w:eastAsia="仿宋_GB2312" w:cs="仿宋_GB2312"/>
          <w:color w:val="auto"/>
          <w:sz w:val="28"/>
          <w:szCs w:val="28"/>
          <w:highlight w:val="none"/>
          <w:lang w:val="en-US" w:eastAsia="zh-CN"/>
        </w:rPr>
        <w:t>（项目名称）</w:t>
      </w:r>
      <w:r>
        <w:rPr>
          <w:rFonts w:hint="eastAsia" w:ascii="仿宋_GB2312" w:hAnsi="仿宋_GB2312" w:eastAsia="仿宋_GB2312" w:cs="仿宋_GB2312"/>
          <w:color w:val="auto"/>
          <w:sz w:val="28"/>
          <w:szCs w:val="28"/>
          <w:highlight w:val="none"/>
        </w:rPr>
        <w:t>的实施过程中创造安全、高效的施工环境，切实</w:t>
      </w:r>
      <w:r>
        <w:rPr>
          <w:rFonts w:hint="eastAsia" w:ascii="仿宋_GB2312" w:hAnsi="仿宋_GB2312" w:eastAsia="仿宋_GB2312" w:cs="仿宋_GB2312"/>
          <w:color w:val="auto"/>
          <w:sz w:val="28"/>
          <w:szCs w:val="28"/>
          <w:highlight w:val="none"/>
          <w:lang w:val="en-US" w:eastAsia="zh-CN"/>
        </w:rPr>
        <w:t>做</w:t>
      </w:r>
      <w:r>
        <w:rPr>
          <w:rFonts w:hint="eastAsia" w:ascii="仿宋_GB2312" w:hAnsi="仿宋_GB2312" w:eastAsia="仿宋_GB2312" w:cs="仿宋_GB2312"/>
          <w:color w:val="auto"/>
          <w:sz w:val="28"/>
          <w:szCs w:val="28"/>
          <w:highlight w:val="none"/>
        </w:rPr>
        <w:t>好本项目的安全管理工作，本项目</w:t>
      </w:r>
      <w:r>
        <w:rPr>
          <w:rFonts w:hint="eastAsia" w:ascii="仿宋_GB2312" w:hAnsi="仿宋_GB2312" w:eastAsia="仿宋_GB2312" w:cs="仿宋_GB2312"/>
          <w:color w:val="auto"/>
          <w:sz w:val="28"/>
          <w:szCs w:val="28"/>
          <w:highlight w:val="none"/>
          <w:lang w:val="en-US" w:eastAsia="zh-CN"/>
        </w:rPr>
        <w:t>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7" w:edGrp="everyone"/>
      <w:r>
        <w:rPr>
          <w:rFonts w:hint="eastAsia" w:ascii="仿宋_GB2312" w:hAnsi="仿宋_GB2312" w:eastAsia="仿宋_GB2312" w:cs="仿宋_GB2312"/>
          <w:color w:val="auto"/>
          <w:sz w:val="28"/>
          <w:szCs w:val="28"/>
          <w:highlight w:val="none"/>
          <w:u w:val="single"/>
          <w:lang w:val="en-US" w:eastAsia="zh-CN"/>
        </w:rPr>
        <w:t xml:space="preserve">              </w:t>
      </w:r>
      <w:permEnd w:id="17"/>
      <w:r>
        <w:rPr>
          <w:rFonts w:hint="eastAsia" w:ascii="仿宋_GB2312" w:hAnsi="仿宋_GB2312" w:eastAsia="仿宋_GB2312" w:cs="仿宋_GB2312"/>
          <w:color w:val="auto"/>
          <w:sz w:val="28"/>
          <w:szCs w:val="28"/>
          <w:highlight w:val="none"/>
          <w:lang w:val="en-US" w:eastAsia="zh-CN"/>
        </w:rPr>
        <w:t>（供货商名称，以下简称乙方）</w:t>
      </w:r>
      <w:r>
        <w:rPr>
          <w:rFonts w:hint="eastAsia" w:ascii="仿宋_GB2312" w:hAnsi="仿宋_GB2312" w:eastAsia="仿宋_GB2312" w:cs="仿宋_GB2312"/>
          <w:color w:val="auto"/>
          <w:sz w:val="28"/>
          <w:szCs w:val="28"/>
          <w:highlight w:val="none"/>
        </w:rPr>
        <w:t>特此签订</w:t>
      </w:r>
      <w:r>
        <w:rPr>
          <w:rFonts w:hint="eastAsia" w:ascii="仿宋_GB2312" w:hAnsi="仿宋_GB2312" w:eastAsia="仿宋_GB2312" w:cs="仿宋_GB2312"/>
          <w:color w:val="auto"/>
          <w:sz w:val="28"/>
          <w:szCs w:val="28"/>
          <w:highlight w:val="none"/>
          <w:lang w:val="en-US" w:eastAsia="zh-CN"/>
        </w:rPr>
        <w:t>此</w:t>
      </w:r>
      <w:r>
        <w:rPr>
          <w:rFonts w:hint="eastAsia" w:ascii="仿宋_GB2312" w:hAnsi="仿宋_GB2312" w:eastAsia="仿宋_GB2312" w:cs="仿宋_GB2312"/>
          <w:color w:val="auto"/>
          <w:sz w:val="28"/>
          <w:szCs w:val="28"/>
          <w:highlight w:val="none"/>
        </w:rPr>
        <w:t>安全生产合同：</w:t>
      </w:r>
    </w:p>
    <w:p w14:paraId="4B164D8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为强化企业安全生</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产主体责任，加强道路运输安全管理</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防止和减少安全事故，保障人民群众生命和财产安全，有效促进双方全面履行经营合同，维护双方的合法权益，依据《</w:t>
      </w:r>
      <w:r>
        <w:rPr>
          <w:rFonts w:hint="eastAsia" w:ascii="仿宋_GB2312" w:hAnsi="仿宋_GB2312" w:eastAsia="仿宋_GB2312" w:cs="仿宋_GB2312"/>
          <w:color w:val="auto"/>
          <w:sz w:val="28"/>
          <w:szCs w:val="28"/>
          <w:highlight w:val="none"/>
          <w:lang w:val="en-US" w:eastAsia="zh-CN"/>
        </w:rPr>
        <w:t>中华人民共和国民法典</w:t>
      </w:r>
      <w:r>
        <w:rPr>
          <w:rFonts w:hint="eastAsia" w:ascii="仿宋_GB2312" w:hAnsi="仿宋_GB2312" w:eastAsia="仿宋_GB2312" w:cs="仿宋_GB2312"/>
          <w:color w:val="auto"/>
          <w:sz w:val="28"/>
          <w:szCs w:val="28"/>
          <w:highlight w:val="none"/>
        </w:rPr>
        <w:t>》、《中华人民共和</w:t>
      </w:r>
      <w:r>
        <w:rPr>
          <w:rFonts w:hint="eastAsia" w:ascii="仿宋_GB2312" w:hAnsi="仿宋_GB2312" w:eastAsia="仿宋_GB2312" w:cs="仿宋_GB2312"/>
          <w:color w:val="auto"/>
          <w:sz w:val="28"/>
          <w:szCs w:val="28"/>
          <w:highlight w:val="none"/>
          <w:lang w:val="en-US" w:eastAsia="zh-CN"/>
        </w:rPr>
        <w:t>国</w:t>
      </w:r>
      <w:r>
        <w:rPr>
          <w:rFonts w:hint="eastAsia" w:ascii="仿宋_GB2312" w:hAnsi="仿宋_GB2312" w:eastAsia="仿宋_GB2312" w:cs="仿宋_GB2312"/>
          <w:color w:val="auto"/>
          <w:sz w:val="28"/>
          <w:szCs w:val="28"/>
          <w:highlight w:val="none"/>
        </w:rPr>
        <w:t>道路交通安全法》、《</w:t>
      </w:r>
      <w:r>
        <w:rPr>
          <w:rFonts w:hint="eastAsia" w:ascii="仿宋_GB2312" w:hAnsi="仿宋_GB2312" w:eastAsia="仿宋_GB2312" w:cs="仿宋_GB2312"/>
          <w:color w:val="auto"/>
          <w:sz w:val="28"/>
          <w:szCs w:val="28"/>
          <w:highlight w:val="none"/>
          <w:lang w:val="en-US" w:eastAsia="zh-CN"/>
        </w:rPr>
        <w:t>中华人民共和国安全生产法</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eastAsia="zh-CN"/>
        </w:rPr>
        <w:t>、《中华人民共和国环境保护法》</w:t>
      </w:r>
      <w:r>
        <w:rPr>
          <w:rFonts w:hint="eastAsia" w:ascii="仿宋_GB2312" w:hAnsi="仿宋_GB2312" w:eastAsia="仿宋_GB2312" w:cs="仿宋_GB2312"/>
          <w:color w:val="auto"/>
          <w:sz w:val="28"/>
          <w:szCs w:val="28"/>
          <w:highlight w:val="none"/>
          <w:lang w:val="en-US" w:eastAsia="zh-CN"/>
        </w:rPr>
        <w:t>等</w:t>
      </w:r>
      <w:r>
        <w:rPr>
          <w:rFonts w:hint="eastAsia" w:ascii="仿宋_GB2312" w:hAnsi="仿宋_GB2312" w:eastAsia="仿宋_GB2312" w:cs="仿宋_GB2312"/>
          <w:color w:val="auto"/>
          <w:sz w:val="28"/>
          <w:szCs w:val="28"/>
          <w:highlight w:val="none"/>
        </w:rPr>
        <w:t>相关安全法律、行政法规和规章，在平等、自愿、公平和诚实信用的原则下，双方就</w:t>
      </w:r>
      <w:r>
        <w:rPr>
          <w:rFonts w:hint="eastAsia" w:ascii="仿宋_GB2312" w:hAnsi="仿宋_GB2312" w:eastAsia="仿宋_GB2312" w:cs="仿宋_GB2312"/>
          <w:color w:val="auto"/>
          <w:sz w:val="28"/>
          <w:szCs w:val="28"/>
          <w:highlight w:val="none"/>
          <w:lang w:val="en-US" w:eastAsia="zh-CN"/>
        </w:rPr>
        <w:t>材料供应、运输、卸货、安装等</w:t>
      </w:r>
      <w:r>
        <w:rPr>
          <w:rFonts w:hint="eastAsia" w:ascii="仿宋_GB2312" w:hAnsi="仿宋_GB2312" w:eastAsia="仿宋_GB2312" w:cs="仿宋_GB2312"/>
          <w:color w:val="auto"/>
          <w:sz w:val="28"/>
          <w:szCs w:val="28"/>
          <w:highlight w:val="none"/>
        </w:rPr>
        <w:t>安全事项协商一致，双方达成如下协议：</w:t>
      </w:r>
    </w:p>
    <w:p w14:paraId="61F02F0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一、本协议履行期限与双方签订的材料供应合同履行期限相同，属材料供应合同的附件之一，具有与材料供应合同同等的法律效力。</w:t>
      </w:r>
    </w:p>
    <w:p w14:paraId="29AFE1C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二、甲方负责提供材料堆放场地，乙方负责运输</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供应及安装</w:t>
      </w:r>
      <w:r>
        <w:rPr>
          <w:rFonts w:hint="eastAsia" w:ascii="仿宋_GB2312" w:hAnsi="仿宋_GB2312" w:eastAsia="仿宋_GB2312" w:cs="仿宋_GB2312"/>
          <w:color w:val="auto"/>
          <w:sz w:val="28"/>
          <w:szCs w:val="28"/>
          <w:highlight w:val="none"/>
        </w:rPr>
        <w:t>。</w:t>
      </w:r>
    </w:p>
    <w:p w14:paraId="3346E5F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三、在甲方运输区域，乙方运输车辆必须服从甲方的统一管理、调度和指挥，严格遵守交通规则，保证道路的畅通和运输安全，不得乱停、乱靠、乱装、乱卸，不得争道抢行，不得超速超载。</w:t>
      </w:r>
    </w:p>
    <w:p w14:paraId="395A7C4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四、乙方对提供的运输车辆应当已取得国家道路运输的许可证，并确保车辆性能符合安全技术标准、防止带病上路运行，已依照国家法律政策规定购齐有关车辆保险。</w:t>
      </w:r>
    </w:p>
    <w:p w14:paraId="3702E1E9">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五</w:t>
      </w:r>
      <w:r>
        <w:rPr>
          <w:rFonts w:hint="eastAsia" w:ascii="仿宋_GB2312" w:hAnsi="仿宋_GB2312" w:eastAsia="仿宋_GB2312" w:cs="仿宋_GB2312"/>
          <w:color w:val="auto"/>
          <w:sz w:val="28"/>
          <w:szCs w:val="28"/>
          <w:highlight w:val="none"/>
        </w:rPr>
        <w:t>、乙方应当设立安全管理人员，配备有专业知识、技能的人员并明确责任，建立、健全安全规章制度，为其雇佣的从业人员提供安全法规知识、安全规章制度、安全操作规程和安全操作技能教育和培训。对于从事电气、起重、建筑登高架设作业、锅炉、压力容器、焊接、机动车船艇驾驶、爆破、潜水、瓦斯检验等特殊工种的人员，经过专业培训，获得《安全操作合格证》</w:t>
      </w:r>
      <w:r>
        <w:rPr>
          <w:rFonts w:hint="eastAsia" w:ascii="仿宋_GB2312" w:hAnsi="仿宋_GB2312" w:eastAsia="仿宋_GB2312" w:cs="仿宋_GB2312"/>
          <w:color w:val="auto"/>
          <w:sz w:val="28"/>
          <w:szCs w:val="28"/>
          <w:highlight w:val="none"/>
          <w:lang w:val="en-US" w:eastAsia="zh-CN"/>
        </w:rPr>
        <w:t>或岗位证书</w:t>
      </w:r>
      <w:r>
        <w:rPr>
          <w:rFonts w:hint="eastAsia" w:ascii="仿宋_GB2312" w:hAnsi="仿宋_GB2312" w:eastAsia="仿宋_GB2312" w:cs="仿宋_GB2312"/>
          <w:color w:val="auto"/>
          <w:sz w:val="28"/>
          <w:szCs w:val="28"/>
          <w:highlight w:val="none"/>
        </w:rPr>
        <w:t>后，方准持证上岗。</w:t>
      </w:r>
    </w:p>
    <w:p w14:paraId="1879B6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六、</w:t>
      </w:r>
      <w:r>
        <w:rPr>
          <w:rFonts w:hint="eastAsia" w:ascii="仿宋_GB2312" w:hAnsi="仿宋_GB2312" w:eastAsia="仿宋_GB2312" w:cs="仿宋_GB2312"/>
          <w:color w:val="auto"/>
          <w:sz w:val="28"/>
          <w:szCs w:val="28"/>
          <w:highlight w:val="none"/>
        </w:rPr>
        <w:t>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14:paraId="25173D0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七、</w:t>
      </w:r>
      <w:r>
        <w:rPr>
          <w:rFonts w:hint="eastAsia" w:ascii="仿宋_GB2312" w:hAnsi="仿宋_GB2312" w:eastAsia="仿宋_GB2312" w:cs="仿宋_GB2312"/>
          <w:color w:val="auto"/>
          <w:sz w:val="28"/>
          <w:szCs w:val="28"/>
          <w:highlight w:val="none"/>
        </w:rPr>
        <w:t>操作人员上岗，必须按规定穿戴防护用品。施工负责人和安全</w:t>
      </w:r>
      <w:r>
        <w:rPr>
          <w:rFonts w:hint="eastAsia" w:ascii="仿宋_GB2312" w:hAnsi="仿宋_GB2312" w:eastAsia="仿宋_GB2312" w:cs="仿宋_GB2312"/>
          <w:color w:val="auto"/>
          <w:sz w:val="28"/>
          <w:szCs w:val="28"/>
          <w:highlight w:val="none"/>
          <w:lang w:val="en-US" w:eastAsia="zh-CN"/>
        </w:rPr>
        <w:t>管理人</w:t>
      </w:r>
      <w:r>
        <w:rPr>
          <w:rFonts w:hint="eastAsia" w:ascii="仿宋_GB2312" w:hAnsi="仿宋_GB2312" w:eastAsia="仿宋_GB2312" w:cs="仿宋_GB2312"/>
          <w:color w:val="auto"/>
          <w:sz w:val="28"/>
          <w:szCs w:val="28"/>
          <w:highlight w:val="none"/>
        </w:rPr>
        <w:t>员应随时检查劳动防护用品的穿戴情况，不按规定穿戴防护用品的人员不得上岗。</w:t>
      </w:r>
      <w:r>
        <w:rPr>
          <w:rFonts w:hint="eastAsia" w:ascii="仿宋_GB2312" w:hAnsi="仿宋_GB2312" w:eastAsia="仿宋_GB2312" w:cs="仿宋_GB2312"/>
          <w:color w:val="auto"/>
          <w:sz w:val="28"/>
          <w:szCs w:val="28"/>
          <w:highlight w:val="none"/>
          <w:lang w:val="en-US" w:eastAsia="zh-CN"/>
        </w:rPr>
        <w:t>在甲方区域，禁止出现无证操作、无证驾驶现象。</w:t>
      </w:r>
    </w:p>
    <w:p w14:paraId="71A546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八、</w:t>
      </w:r>
      <w:r>
        <w:rPr>
          <w:rFonts w:hint="eastAsia" w:ascii="仿宋_GB2312" w:hAnsi="仿宋_GB2312" w:eastAsia="仿宋_GB2312" w:cs="仿宋_GB2312"/>
          <w:color w:val="auto"/>
          <w:sz w:val="28"/>
          <w:szCs w:val="28"/>
          <w:highlight w:val="none"/>
        </w:rPr>
        <w:t>所有施工机具设备和高空作业的设备均应定期检查，并有安全员的签字记录，保证其经常处于完好状态；不合格的机具、设备和劳动保护用品严禁使用</w:t>
      </w:r>
      <w:r>
        <w:rPr>
          <w:rFonts w:hint="eastAsia" w:ascii="仿宋_GB2312" w:hAnsi="仿宋_GB2312" w:eastAsia="仿宋_GB2312" w:cs="仿宋_GB2312"/>
          <w:color w:val="auto"/>
          <w:sz w:val="28"/>
          <w:szCs w:val="28"/>
          <w:highlight w:val="none"/>
          <w:lang w:eastAsia="zh-CN"/>
        </w:rPr>
        <w:t>。</w:t>
      </w:r>
    </w:p>
    <w:p w14:paraId="4360A81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九、</w:t>
      </w:r>
      <w:r>
        <w:rPr>
          <w:rFonts w:hint="eastAsia" w:ascii="仿宋_GB2312" w:hAnsi="仿宋_GB2312" w:eastAsia="仿宋_GB2312" w:cs="仿宋_GB2312"/>
          <w:color w:val="auto"/>
          <w:sz w:val="28"/>
          <w:szCs w:val="28"/>
          <w:highlight w:val="none"/>
        </w:rPr>
        <w:t>施工中采用新技术、新工艺、新设备、新材料时，必须制定相应的安全技术措施，施工现场必须具有相关的安全标志牌。</w:t>
      </w:r>
    </w:p>
    <w:p w14:paraId="34331A6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w:t>
      </w:r>
      <w:r>
        <w:rPr>
          <w:rFonts w:hint="eastAsia" w:ascii="仿宋_GB2312" w:hAnsi="仿宋_GB2312" w:eastAsia="仿宋_GB2312" w:cs="仿宋_GB2312"/>
          <w:color w:val="auto"/>
          <w:sz w:val="28"/>
          <w:szCs w:val="28"/>
          <w:highlight w:val="none"/>
        </w:rPr>
        <w:t>乙方必须按照本工程项目特点，组织制定本工程实施中的生产安全事故应急救援预案；如果发生安全事故，应按照《国务院关于特大安全事故行政责任追究的规定》以及其他有关规定，及时上报有关部门，并坚持“四不放过”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严肃处理相关责任人。</w:t>
      </w:r>
    </w:p>
    <w:p w14:paraId="4961DD6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十一</w:t>
      </w:r>
      <w:r>
        <w:rPr>
          <w:rFonts w:hint="eastAsia" w:ascii="仿宋_GB2312" w:hAnsi="仿宋_GB2312" w:eastAsia="仿宋_GB2312" w:cs="仿宋_GB2312"/>
          <w:color w:val="auto"/>
          <w:sz w:val="28"/>
          <w:szCs w:val="28"/>
          <w:highlight w:val="none"/>
        </w:rPr>
        <w:t>、乙方在履行合同过程中，必须确保</w:t>
      </w:r>
      <w:r>
        <w:rPr>
          <w:rFonts w:hint="eastAsia" w:ascii="仿宋_GB2312" w:hAnsi="仿宋_GB2312" w:eastAsia="仿宋_GB2312" w:cs="仿宋_GB2312"/>
          <w:color w:val="auto"/>
          <w:sz w:val="28"/>
          <w:szCs w:val="28"/>
          <w:highlight w:val="none"/>
          <w:lang w:val="en-US" w:eastAsia="zh-CN"/>
        </w:rPr>
        <w:t>在甲方运输场地内的运输、材料卸货、安装等安全</w:t>
      </w:r>
      <w:r>
        <w:rPr>
          <w:rFonts w:hint="eastAsia" w:ascii="仿宋_GB2312" w:hAnsi="仿宋_GB2312" w:eastAsia="仿宋_GB2312" w:cs="仿宋_GB2312"/>
          <w:color w:val="auto"/>
          <w:sz w:val="28"/>
          <w:szCs w:val="28"/>
          <w:highlight w:val="none"/>
        </w:rPr>
        <w:t>，如发生各类人身、财产事故，造成的一切损失均由乙方负责承担，甲方概不负责。</w:t>
      </w:r>
    </w:p>
    <w:p w14:paraId="36D51C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十</w:t>
      </w:r>
      <w:r>
        <w:rPr>
          <w:rFonts w:hint="eastAsia" w:ascii="仿宋_GB2312" w:hAnsi="仿宋_GB2312" w:eastAsia="仿宋_GB2312" w:cs="仿宋_GB2312"/>
          <w:color w:val="auto"/>
          <w:sz w:val="28"/>
          <w:szCs w:val="28"/>
          <w:highlight w:val="none"/>
          <w:lang w:val="en-US" w:eastAsia="zh-CN"/>
        </w:rPr>
        <w:t>二</w:t>
      </w:r>
      <w:r>
        <w:rPr>
          <w:rFonts w:hint="eastAsia" w:ascii="仿宋_GB2312" w:hAnsi="仿宋_GB2312" w:eastAsia="仿宋_GB2312" w:cs="仿宋_GB2312"/>
          <w:color w:val="auto"/>
          <w:sz w:val="28"/>
          <w:szCs w:val="28"/>
          <w:highlight w:val="none"/>
        </w:rPr>
        <w:t xml:space="preserve">、争议的解决 </w:t>
      </w:r>
    </w:p>
    <w:p w14:paraId="7072748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在履行中如发生争议，双方应及时协商解决。协商不成的，任何一方均有权将</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争议事项向甲方公司注册所在地人民法院提起诉讼，通过法定程序解决。</w:t>
      </w:r>
    </w:p>
    <w:p w14:paraId="234A107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十三、</w:t>
      </w:r>
      <w:r>
        <w:rPr>
          <w:rFonts w:hint="eastAsia" w:ascii="仿宋_GB2312" w:hAnsi="仿宋_GB2312" w:eastAsia="仿宋_GB2312" w:cs="仿宋_GB2312"/>
          <w:color w:val="auto"/>
          <w:sz w:val="28"/>
          <w:szCs w:val="28"/>
          <w:highlight w:val="none"/>
        </w:rPr>
        <w:t>本协议</w:t>
      </w:r>
      <w:r>
        <w:rPr>
          <w:rFonts w:hint="eastAsia" w:ascii="仿宋_GB2312" w:hAnsi="仿宋_GB2312" w:eastAsia="仿宋_GB2312" w:cs="仿宋_GB2312"/>
          <w:color w:val="auto"/>
          <w:sz w:val="28"/>
          <w:szCs w:val="28"/>
          <w:highlight w:val="none"/>
          <w:lang w:val="en-US" w:eastAsia="zh-CN"/>
        </w:rPr>
        <w:t>一</w:t>
      </w:r>
      <w:r>
        <w:rPr>
          <w:rFonts w:hint="eastAsia" w:ascii="仿宋_GB2312" w:hAnsi="仿宋_GB2312" w:eastAsia="仿宋_GB2312" w:cs="仿宋_GB2312"/>
          <w:color w:val="auto"/>
          <w:sz w:val="28"/>
          <w:szCs w:val="28"/>
          <w:highlight w:val="none"/>
        </w:rPr>
        <w:t>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rPr>
        <w:t>份，甲</w:t>
      </w:r>
      <w:r>
        <w:rPr>
          <w:rFonts w:hint="eastAsia" w:ascii="仿宋_GB2312" w:hAnsi="仿宋_GB2312" w:eastAsia="仿宋_GB2312" w:cs="仿宋_GB2312"/>
          <w:color w:val="auto"/>
          <w:sz w:val="28"/>
          <w:szCs w:val="28"/>
          <w:highlight w:val="none"/>
          <w:lang w:val="en-US" w:eastAsia="zh-CN"/>
        </w:rPr>
        <w:t xml:space="preserve">方执 </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w:t>
      </w:r>
      <w:r>
        <w:rPr>
          <w:rFonts w:hint="eastAsia" w:ascii="仿宋_GB2312" w:hAnsi="仿宋_GB2312" w:eastAsia="仿宋_GB2312" w:cs="仿宋_GB2312"/>
          <w:color w:val="auto"/>
          <w:sz w:val="28"/>
          <w:szCs w:val="28"/>
          <w:highlight w:val="none"/>
        </w:rPr>
        <w:t>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rPr>
        <w:t>份。</w:t>
      </w:r>
    </w:p>
    <w:p w14:paraId="5F37D6B8">
      <w:pPr>
        <w:pStyle w:val="2"/>
        <w:widowControl w:val="0"/>
        <w:numPr>
          <w:ilvl w:val="0"/>
          <w:numId w:val="0"/>
        </w:numPr>
        <w:spacing w:after="120"/>
        <w:jc w:val="both"/>
        <w:rPr>
          <w:rFonts w:hint="eastAsia"/>
          <w:color w:val="auto"/>
          <w:highlight w:val="none"/>
        </w:rPr>
      </w:pPr>
    </w:p>
    <w:p w14:paraId="4B89D47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78DC61A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乙方（盖章）：</w:t>
      </w:r>
    </w:p>
    <w:p w14:paraId="6D4138D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法定代表人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 xml:space="preserve"> 法定代表人</w:t>
      </w:r>
    </w:p>
    <w:p w14:paraId="252E663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381E3B36">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年   月   日                    年   月   日</w:t>
      </w:r>
    </w:p>
    <w:p w14:paraId="073F26D9">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pacing w:val="0"/>
          <w:sz w:val="28"/>
          <w:szCs w:val="28"/>
          <w:highlight w:val="none"/>
          <w:lang w:val="en-US" w:eastAsia="zh-CN"/>
        </w:rPr>
      </w:pPr>
    </w:p>
    <w:p w14:paraId="397ACF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4C846B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18BD26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CD36D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308FBB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26EB1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66188D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6120DC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454D9B6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E2E439F">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59F73C35">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6CC96791">
      <w:pPr>
        <w:pStyle w:val="19"/>
        <w:keepNext w:val="0"/>
        <w:keepLines w:val="0"/>
        <w:pageBreakBefore w:val="0"/>
        <w:kinsoku/>
        <w:wordWrap/>
        <w:overflowPunct/>
        <w:topLinePunct w:val="0"/>
        <w:autoSpaceDE/>
        <w:autoSpaceDN/>
        <w:bidi w:val="0"/>
        <w:adjustRightInd/>
        <w:snapToGrid/>
        <w:spacing w:line="560" w:lineRule="exact"/>
        <w:ind w:left="0" w:firstLine="0" w:firstLineChars="0"/>
        <w:jc w:val="both"/>
        <w:rPr>
          <w:rFonts w:hint="eastAsia" w:ascii="仿宋_GB2312" w:hAnsi="仿宋_GB2312" w:eastAsia="仿宋_GB2312" w:cs="仿宋_GB2312"/>
          <w:b/>
          <w:color w:val="auto"/>
          <w:sz w:val="28"/>
          <w:szCs w:val="28"/>
          <w:highlight w:val="none"/>
          <w:lang w:val="en-US" w:eastAsia="zh-CN"/>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3</w:t>
      </w:r>
      <w:r>
        <w:rPr>
          <w:rFonts w:hint="eastAsia" w:ascii="仿宋_GB2312" w:hAnsi="仿宋_GB2312" w:eastAsia="仿宋_GB2312" w:cs="仿宋_GB2312"/>
          <w:b/>
          <w:color w:val="auto"/>
          <w:sz w:val="28"/>
          <w:szCs w:val="28"/>
          <w:highlight w:val="none"/>
        </w:rPr>
        <w:t>：</w:t>
      </w:r>
      <w:r>
        <w:rPr>
          <w:rFonts w:hint="eastAsia" w:ascii="仿宋_GB2312" w:hAnsi="仿宋_GB2312" w:eastAsia="仿宋_GB2312" w:cs="仿宋_GB2312"/>
          <w:b/>
          <w:color w:val="auto"/>
          <w:sz w:val="28"/>
          <w:szCs w:val="28"/>
          <w:highlight w:val="none"/>
          <w:lang w:val="en-US" w:eastAsia="zh-CN"/>
        </w:rPr>
        <w:t xml:space="preserve">                 </w:t>
      </w:r>
    </w:p>
    <w:p w14:paraId="08119ECB">
      <w:pPr>
        <w:pStyle w:val="19"/>
        <w:keepNext w:val="0"/>
        <w:keepLines w:val="0"/>
        <w:pageBreakBefore w:val="0"/>
        <w:kinsoku/>
        <w:wordWrap/>
        <w:overflowPunct/>
        <w:topLinePunct w:val="0"/>
        <w:autoSpaceDE/>
        <w:autoSpaceDN/>
        <w:bidi w:val="0"/>
        <w:adjustRightInd/>
        <w:snapToGrid/>
        <w:spacing w:line="560" w:lineRule="exact"/>
        <w:ind w:left="0" w:firstLine="0" w:firstLineChars="0"/>
        <w:jc w:val="center"/>
        <w:rPr>
          <w:rFonts w:hint="eastAsia" w:eastAsiaTheme="minorEastAsia"/>
          <w:color w:val="auto"/>
          <w:highlight w:val="none"/>
          <w:lang w:val="en-US" w:eastAsia="zh-CN"/>
        </w:rPr>
      </w:pPr>
      <w:r>
        <w:rPr>
          <w:rFonts w:hint="eastAsia" w:ascii="方正小标宋简体" w:hAnsi="方正小标宋简体" w:eastAsia="方正小标宋简体" w:cs="方正小标宋简体"/>
          <w:b/>
          <w:color w:val="auto"/>
          <w:sz w:val="44"/>
          <w:szCs w:val="44"/>
          <w:highlight w:val="none"/>
          <w:lang w:val="en-US" w:eastAsia="zh-CN"/>
        </w:rPr>
        <w:t>报价清单</w:t>
      </w:r>
    </w:p>
    <w:p w14:paraId="3714D558">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r>
        <w:rPr>
          <w:rFonts w:hint="eastAsia"/>
          <w:color w:val="auto"/>
          <w:highlight w:val="none"/>
          <w:lang w:val="en-US" w:eastAsia="zh-CN"/>
        </w:rPr>
        <w:t xml:space="preserve"> </w:t>
      </w:r>
    </w:p>
    <w:p w14:paraId="328B4BB3">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ermStart w:id="18" w:edGrp="everyone"/>
    </w:p>
    <w:p w14:paraId="3D58C033">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
    <w:p w14:paraId="4C452718">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
    <w:p w14:paraId="0AF30D25">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default"/>
          <w:color w:val="auto"/>
          <w:highlight w:val="none"/>
          <w:lang w:val="en-US" w:eastAsia="zh-CN"/>
        </w:rPr>
      </w:pPr>
      <w:r>
        <w:rPr>
          <w:rFonts w:hint="eastAsia"/>
          <w:color w:val="auto"/>
          <w:highlight w:val="none"/>
          <w:lang w:val="en-US" w:eastAsia="zh-CN"/>
        </w:rPr>
        <w:t xml:space="preserve">     </w:t>
      </w:r>
    </w:p>
    <w:permEnd w:id="18"/>
    <w:p w14:paraId="61702EFC">
      <w:pPr>
        <w:rPr>
          <w:color w:val="auto"/>
        </w:rPr>
      </w:pPr>
    </w:p>
    <w:p w14:paraId="155635AE">
      <w:pPr>
        <w:spacing w:line="560" w:lineRule="exact"/>
        <w:ind w:firstLine="420" w:firstLineChars="200"/>
        <w:rPr>
          <w:color w:val="auto"/>
        </w:rPr>
      </w:pPr>
    </w:p>
    <w:p w14:paraId="68B29704">
      <w:pPr>
        <w:pStyle w:val="18"/>
        <w:ind w:firstLine="210"/>
        <w:rPr>
          <w:color w:val="auto"/>
        </w:rPr>
      </w:pPr>
    </w:p>
    <w:p w14:paraId="26585D94">
      <w:pPr>
        <w:rPr>
          <w:rFonts w:hint="eastAsia" w:eastAsiaTheme="minorEastAsia"/>
          <w:color w:val="auto"/>
          <w:lang w:val="en-US" w:eastAsia="zh-CN"/>
        </w:rPr>
      </w:pPr>
      <w:r>
        <w:rPr>
          <w:rFonts w:hint="eastAsia"/>
          <w:color w:val="auto"/>
        </w:rPr>
        <w:br w:type="page"/>
      </w:r>
    </w:p>
    <w:p w14:paraId="767EAAD3">
      <w:pPr>
        <w:pStyle w:val="5"/>
        <w:numPr>
          <w:ilvl w:val="0"/>
          <w:numId w:val="0"/>
        </w:numPr>
        <w:spacing w:before="312" w:after="312"/>
        <w:ind w:leftChars="0"/>
        <w:rPr>
          <w:rFonts w:ascii="Times New Roman" w:hAnsi="Times New Roman" w:eastAsia="宋体" w:cs="Times New Roman"/>
          <w:color w:val="auto"/>
        </w:rPr>
      </w:pPr>
      <w:bookmarkStart w:id="62" w:name="_Toc18852"/>
      <w:r>
        <w:rPr>
          <w:rFonts w:hint="eastAsia" w:ascii="Times New Roman" w:hAnsi="Times New Roman" w:eastAsia="宋体" w:cs="Times New Roman"/>
          <w:color w:val="auto"/>
          <w:lang w:val="en-US" w:eastAsia="zh-CN"/>
        </w:rPr>
        <w:t xml:space="preserve">第五章 </w:t>
      </w:r>
      <w:r>
        <w:rPr>
          <w:rFonts w:hint="eastAsia" w:ascii="Times New Roman" w:hAnsi="Times New Roman" w:eastAsia="宋体" w:cs="Times New Roman"/>
          <w:color w:val="auto"/>
        </w:rPr>
        <w:t>供货要</w:t>
      </w:r>
      <w:r>
        <w:rPr>
          <w:rFonts w:ascii="Times New Roman" w:hAnsi="Times New Roman" w:eastAsia="宋体" w:cs="Times New Roman"/>
          <w:color w:val="auto"/>
        </w:rPr>
        <w:t>求及清单</w:t>
      </w:r>
      <w:bookmarkEnd w:id="62"/>
    </w:p>
    <w:p w14:paraId="236651BB">
      <w:pPr>
        <w:snapToGrid w:val="0"/>
        <w:spacing w:line="400" w:lineRule="exact"/>
        <w:jc w:val="left"/>
        <w:rPr>
          <w:rFonts w:hint="eastAsia" w:ascii="宋体" w:hAnsi="宋体" w:cs="宋体"/>
          <w:b/>
          <w:color w:val="auto"/>
          <w:sz w:val="24"/>
        </w:rPr>
      </w:pPr>
      <w:r>
        <w:rPr>
          <w:rFonts w:hint="eastAsia" w:ascii="宋体" w:hAnsi="宋体" w:cs="宋体"/>
          <w:b/>
          <w:color w:val="auto"/>
          <w:sz w:val="24"/>
        </w:rPr>
        <w:t>（清单详见附件）</w:t>
      </w:r>
    </w:p>
    <w:p w14:paraId="275A2A3C">
      <w:pPr>
        <w:pStyle w:val="2"/>
        <w:rPr>
          <w:color w:val="auto"/>
        </w:rPr>
      </w:pPr>
    </w:p>
    <w:p w14:paraId="42DEFAB8">
      <w:pPr>
        <w:snapToGrid w:val="0"/>
        <w:spacing w:line="400" w:lineRule="exact"/>
        <w:jc w:val="left"/>
        <w:rPr>
          <w:rFonts w:hint="eastAsia" w:ascii="宋体" w:hAnsi="宋体" w:cs="宋体"/>
          <w:color w:val="auto"/>
          <w:sz w:val="24"/>
          <w:szCs w:val="24"/>
          <w:highlight w:val="none"/>
        </w:rPr>
      </w:pPr>
      <w:r>
        <w:rPr>
          <w:rFonts w:hint="eastAsia" w:ascii="宋体" w:hAnsi="宋体" w:cs="宋体"/>
          <w:b/>
          <w:color w:val="auto"/>
          <w:sz w:val="24"/>
        </w:rPr>
        <w:t>备注：</w:t>
      </w:r>
      <w:r>
        <w:rPr>
          <w:rFonts w:hint="eastAsia" w:ascii="宋体" w:hAnsi="宋体" w:cs="宋体"/>
          <w:color w:val="auto"/>
          <w:sz w:val="24"/>
          <w:szCs w:val="24"/>
          <w:highlight w:val="none"/>
        </w:rPr>
        <w:t>1.上述费用包括货物的原材料、生产、包装、运输、保险、卸货叉车费（如有）、</w:t>
      </w:r>
      <w:r>
        <w:rPr>
          <w:rFonts w:hint="eastAsia" w:ascii="宋体" w:hAnsi="宋体" w:cs="宋体"/>
          <w:color w:val="auto"/>
          <w:sz w:val="24"/>
          <w:szCs w:val="24"/>
          <w:highlight w:val="none"/>
          <w:lang w:val="en-US" w:eastAsia="zh-CN"/>
        </w:rPr>
        <w:t>安装费、</w:t>
      </w:r>
      <w:r>
        <w:rPr>
          <w:rFonts w:hint="eastAsia" w:ascii="宋体" w:hAnsi="宋体" w:cs="宋体"/>
          <w:color w:val="auto"/>
          <w:sz w:val="24"/>
          <w:szCs w:val="24"/>
          <w:highlight w:val="none"/>
        </w:rPr>
        <w:t>人工费、卸车费、利润、税费等相关费用。</w:t>
      </w:r>
    </w:p>
    <w:p w14:paraId="0E76C909">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2.最终结算以实际供货数量为准，送货时附带相关检测报告。</w:t>
      </w:r>
    </w:p>
    <w:p w14:paraId="726843D4">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3.必须按规定提供全部完整无损、全新的产品。</w:t>
      </w:r>
      <w:r>
        <w:rPr>
          <w:rFonts w:hint="eastAsia" w:ascii="宋体" w:hAnsi="宋体" w:cs="宋体"/>
          <w:b/>
          <w:color w:val="auto"/>
          <w:sz w:val="24"/>
          <w:szCs w:val="24"/>
          <w:highlight w:val="none"/>
        </w:rPr>
        <w:t>涉及</w:t>
      </w:r>
      <w:r>
        <w:rPr>
          <w:rFonts w:hint="eastAsia" w:ascii="宋体" w:hAnsi="宋体" w:cs="宋体"/>
          <w:b/>
          <w:color w:val="auto"/>
          <w:sz w:val="24"/>
          <w:szCs w:val="24"/>
          <w:highlight w:val="none"/>
          <w:lang w:val="en-US" w:eastAsia="zh-CN"/>
        </w:rPr>
        <w:t>供应货物第三方</w:t>
      </w:r>
      <w:r>
        <w:rPr>
          <w:rFonts w:hint="eastAsia" w:ascii="宋体" w:hAnsi="宋体" w:cs="宋体"/>
          <w:b/>
          <w:color w:val="auto"/>
          <w:sz w:val="24"/>
          <w:szCs w:val="24"/>
          <w:highlight w:val="none"/>
        </w:rPr>
        <w:t>复试费用均由供应商承担</w:t>
      </w: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含检测样品）</w:t>
      </w:r>
      <w:r>
        <w:rPr>
          <w:rFonts w:hint="eastAsia" w:ascii="宋体" w:hAnsi="宋体" w:cs="宋体"/>
          <w:b/>
          <w:color w:val="auto"/>
          <w:sz w:val="24"/>
          <w:szCs w:val="24"/>
          <w:highlight w:val="none"/>
        </w:rPr>
        <w:t>，抽检频率和批次按国家、行业标准或甲方要求执行。</w:t>
      </w:r>
    </w:p>
    <w:p w14:paraId="51A7DD4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w:t>
      </w:r>
      <w:r>
        <w:rPr>
          <w:rFonts w:hint="eastAsia" w:ascii="宋体" w:hAnsi="宋体" w:cs="宋体"/>
          <w:color w:val="auto"/>
          <w:sz w:val="24"/>
          <w:szCs w:val="24"/>
          <w:highlight w:val="none"/>
          <w:lang w:val="en-US" w:eastAsia="zh-CN"/>
        </w:rPr>
        <w:t>供应货物</w:t>
      </w:r>
      <w:r>
        <w:rPr>
          <w:rFonts w:hint="eastAsia" w:ascii="宋体" w:hAnsi="宋体" w:cs="宋体"/>
          <w:color w:val="auto"/>
          <w:sz w:val="24"/>
          <w:szCs w:val="24"/>
          <w:highlight w:val="none"/>
        </w:rPr>
        <w:t>须在包装外壁醒目位置上永久性标示生产厂家、生产批次、品牌标志、规格型号、唯一性可追溯性编码标识（如二维码）等信息。</w:t>
      </w:r>
    </w:p>
    <w:p w14:paraId="77B07798">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w:t>
      </w:r>
      <w:r>
        <w:rPr>
          <w:rFonts w:hint="eastAsia" w:ascii="宋体" w:hAnsi="宋体" w:cs="宋体"/>
          <w:color w:val="auto"/>
          <w:sz w:val="24"/>
          <w:szCs w:val="24"/>
          <w:highlight w:val="none"/>
          <w:lang w:val="en-US" w:eastAsia="zh-CN"/>
        </w:rPr>
        <w:t>供应货物的</w:t>
      </w:r>
      <w:r>
        <w:rPr>
          <w:rFonts w:hint="eastAsia" w:ascii="宋体" w:hAnsi="宋体" w:cs="宋体"/>
          <w:color w:val="auto"/>
          <w:sz w:val="24"/>
          <w:szCs w:val="24"/>
          <w:highlight w:val="none"/>
        </w:rPr>
        <w:t>供货进度应满足采购人工程进度分批次实施的安排和要求，</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人应充分理解并全力配合采购人</w:t>
      </w:r>
      <w:r>
        <w:rPr>
          <w:rFonts w:hint="eastAsia" w:ascii="宋体" w:hAnsi="宋体" w:cs="宋体"/>
          <w:color w:val="auto"/>
          <w:sz w:val="24"/>
          <w:szCs w:val="24"/>
          <w:highlight w:val="none"/>
          <w:lang w:val="en-US" w:eastAsia="zh-CN"/>
        </w:rPr>
        <w:t>关于供应货物的</w:t>
      </w:r>
      <w:r>
        <w:rPr>
          <w:rFonts w:hint="eastAsia" w:ascii="宋体" w:hAnsi="宋体" w:cs="宋体"/>
          <w:color w:val="auto"/>
          <w:sz w:val="24"/>
          <w:szCs w:val="24"/>
          <w:highlight w:val="none"/>
        </w:rPr>
        <w:t>采购、进场工作，并承担因送货次数增加而引起的运输成本增加等相应风险。</w:t>
      </w:r>
    </w:p>
    <w:p w14:paraId="60782775">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人对提供的</w:t>
      </w:r>
      <w:r>
        <w:rPr>
          <w:rFonts w:hint="eastAsia" w:ascii="宋体" w:hAnsi="宋体" w:cs="宋体"/>
          <w:color w:val="auto"/>
          <w:sz w:val="24"/>
          <w:szCs w:val="24"/>
          <w:highlight w:val="none"/>
          <w:lang w:val="en-US" w:eastAsia="zh-CN"/>
        </w:rPr>
        <w:t>货物</w:t>
      </w:r>
      <w:r>
        <w:rPr>
          <w:rFonts w:hint="eastAsia" w:ascii="宋体" w:hAnsi="宋体" w:cs="宋体"/>
          <w:color w:val="auto"/>
          <w:sz w:val="24"/>
          <w:szCs w:val="24"/>
          <w:highlight w:val="none"/>
        </w:rPr>
        <w:t>质量负总责，材料进场应按程序履行报验、交接手续；因</w:t>
      </w:r>
      <w:r>
        <w:rPr>
          <w:rFonts w:hint="eastAsia" w:ascii="宋体" w:hAnsi="宋体" w:cs="宋体"/>
          <w:color w:val="auto"/>
          <w:sz w:val="24"/>
          <w:szCs w:val="24"/>
          <w:highlight w:val="none"/>
          <w:lang w:val="en-US" w:eastAsia="zh-CN"/>
        </w:rPr>
        <w:t>供应货物</w:t>
      </w:r>
      <w:r>
        <w:rPr>
          <w:rFonts w:hint="eastAsia" w:ascii="宋体" w:hAnsi="宋体" w:cs="宋体"/>
          <w:color w:val="auto"/>
          <w:sz w:val="24"/>
          <w:szCs w:val="24"/>
          <w:highlight w:val="none"/>
        </w:rPr>
        <w:t>材料质量问题，将视作违约，</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人须赔偿由此造成返工的全部工程建设费用及其他一切损失，同时由采购人追究</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人的违约责任，情节严重的，依法追究相关责任。</w:t>
      </w:r>
    </w:p>
    <w:p w14:paraId="56CBCA44">
      <w:pPr>
        <w:snapToGrid w:val="0"/>
        <w:spacing w:line="400" w:lineRule="exact"/>
        <w:ind w:firstLine="480" w:firstLineChars="200"/>
        <w:jc w:val="left"/>
        <w:rPr>
          <w:rFonts w:hint="eastAsia" w:ascii="宋体" w:hAnsi="宋体" w:cs="宋体"/>
          <w:color w:val="auto"/>
          <w:sz w:val="24"/>
        </w:rPr>
      </w:pPr>
    </w:p>
    <w:p w14:paraId="34F80634">
      <w:pPr>
        <w:rPr>
          <w:rFonts w:hint="eastAsia" w:ascii="宋体" w:hAnsi="宋体" w:eastAsia="宋体" w:cs="宋体"/>
          <w:b/>
          <w:color w:val="auto"/>
          <w:sz w:val="28"/>
          <w:szCs w:val="28"/>
        </w:rPr>
      </w:pPr>
      <w:r>
        <w:rPr>
          <w:rFonts w:hint="eastAsia" w:ascii="宋体" w:hAnsi="宋体" w:eastAsia="宋体" w:cs="宋体"/>
          <w:b/>
          <w:color w:val="auto"/>
          <w:sz w:val="28"/>
          <w:szCs w:val="28"/>
        </w:rPr>
        <w:br w:type="page"/>
      </w:r>
    </w:p>
    <w:p w14:paraId="2A12D55B">
      <w:pPr>
        <w:pStyle w:val="5"/>
        <w:numPr>
          <w:ilvl w:val="255"/>
          <w:numId w:val="0"/>
        </w:numPr>
        <w:spacing w:before="312" w:after="312"/>
        <w:ind w:left="402"/>
        <w:rPr>
          <w:rFonts w:ascii="Times New Roman" w:hAnsi="Times New Roman" w:eastAsia="宋体" w:cs="Times New Roman"/>
          <w:color w:val="auto"/>
        </w:rPr>
      </w:pPr>
      <w:bookmarkStart w:id="63" w:name="_Toc25162"/>
      <w:r>
        <w:rPr>
          <w:rFonts w:hint="eastAsia" w:ascii="Times New Roman" w:hAnsi="Times New Roman" w:eastAsia="宋体" w:cs="Times New Roman"/>
          <w:color w:val="auto"/>
        </w:rPr>
        <w:t>第六章 响应文件格式</w:t>
      </w:r>
      <w:bookmarkEnd w:id="63"/>
    </w:p>
    <w:p w14:paraId="2F8FBD15">
      <w:pPr>
        <w:jc w:val="left"/>
        <w:rPr>
          <w:rFonts w:ascii="Times New Roman" w:hAnsi="Times New Roman" w:eastAsia="宋体" w:cs="Times New Roman"/>
          <w:color w:val="auto"/>
        </w:rPr>
      </w:pPr>
      <w:r>
        <w:rPr>
          <w:rFonts w:ascii="Times New Roman" w:hAnsi="Times New Roman" w:eastAsia="宋体" w:cs="Times New Roman"/>
          <w:color w:val="auto"/>
        </w:rPr>
        <w:br w:type="page"/>
      </w:r>
    </w:p>
    <w:p w14:paraId="38558ADF">
      <w:pPr>
        <w:spacing w:line="440" w:lineRule="exact"/>
        <w:jc w:val="center"/>
        <w:rPr>
          <w:rFonts w:hint="eastAsia" w:ascii="宋体" w:hAnsi="宋体" w:eastAsia="宋体" w:cs="宋体"/>
          <w:b/>
          <w:bCs/>
          <w:color w:val="auto"/>
          <w:kern w:val="0"/>
          <w:sz w:val="36"/>
          <w:szCs w:val="36"/>
          <w:u w:val="none"/>
        </w:rPr>
      </w:pPr>
    </w:p>
    <w:p w14:paraId="60DD44ED">
      <w:pPr>
        <w:spacing w:line="360" w:lineRule="auto"/>
        <w:jc w:val="center"/>
        <w:outlineLvl w:val="0"/>
        <w:rPr>
          <w:rFonts w:hint="eastAsia" w:asciiTheme="majorEastAsia" w:hAnsiTheme="majorEastAsia" w:eastAsiaTheme="majorEastAsia" w:cstheme="majorEastAsia"/>
          <w:color w:val="auto"/>
          <w:sz w:val="44"/>
          <w:szCs w:val="44"/>
          <w:u w:val="none"/>
        </w:rPr>
      </w:pPr>
      <w:bookmarkStart w:id="64" w:name="_Toc21354"/>
      <w:bookmarkStart w:id="65" w:name="_Toc32350_WPSOffice_Level1"/>
      <w:bookmarkStart w:id="66" w:name="_Toc14563_WPSOffice_Level1"/>
      <w:bookmarkStart w:id="67" w:name="_Toc15033"/>
      <w:bookmarkStart w:id="68" w:name="_Toc28026"/>
      <w:bookmarkStart w:id="69" w:name="_Toc31127_WPSOffice_Level1"/>
      <w:bookmarkStart w:id="70" w:name="_Toc13190_WPSOffice_Level1"/>
      <w:bookmarkStart w:id="71" w:name="_Toc18668_WPSOffice_Level1"/>
      <w:bookmarkStart w:id="72" w:name="_Toc7337"/>
      <w:bookmarkStart w:id="73" w:name="_Toc12530_WPSOffice_Level1"/>
      <w:bookmarkStart w:id="74" w:name="_Toc8695_WPSOffice_Level1"/>
      <w:r>
        <w:rPr>
          <w:rFonts w:hint="eastAsia" w:asciiTheme="majorEastAsia" w:hAnsiTheme="majorEastAsia" w:eastAsiaTheme="majorEastAsia" w:cstheme="majorEastAsia"/>
          <w:color w:val="auto"/>
          <w:sz w:val="44"/>
          <w:szCs w:val="44"/>
          <w:u w:val="none"/>
        </w:rPr>
        <w:t>东至至鄱阳高速公路安徽段东至管理分中心项目、G0321德州至上饶高速公路祁门</w:t>
      </w:r>
      <w:bookmarkEnd w:id="64"/>
    </w:p>
    <w:p w14:paraId="26BAE805">
      <w:pPr>
        <w:spacing w:line="360" w:lineRule="auto"/>
        <w:jc w:val="center"/>
        <w:outlineLvl w:val="0"/>
        <w:rPr>
          <w:rFonts w:hint="eastAsia" w:asciiTheme="majorEastAsia" w:hAnsiTheme="majorEastAsia" w:eastAsiaTheme="majorEastAsia" w:cstheme="majorEastAsia"/>
          <w:color w:val="auto"/>
          <w:sz w:val="44"/>
          <w:szCs w:val="44"/>
          <w:u w:val="none"/>
        </w:rPr>
      </w:pPr>
      <w:bookmarkStart w:id="75" w:name="_Toc21891"/>
      <w:r>
        <w:rPr>
          <w:rFonts w:hint="eastAsia" w:asciiTheme="majorEastAsia" w:hAnsiTheme="majorEastAsia" w:eastAsiaTheme="majorEastAsia" w:cstheme="majorEastAsia"/>
          <w:color w:val="auto"/>
          <w:sz w:val="44"/>
          <w:szCs w:val="44"/>
          <w:u w:val="none"/>
        </w:rPr>
        <w:t>至皖赣界段房建工程项目电器采购</w:t>
      </w:r>
      <w:bookmarkEnd w:id="75"/>
    </w:p>
    <w:p w14:paraId="44BD6859">
      <w:pPr>
        <w:spacing w:line="360" w:lineRule="auto"/>
        <w:jc w:val="center"/>
        <w:outlineLvl w:val="0"/>
        <w:rPr>
          <w:rFonts w:hint="eastAsia" w:ascii="微软雅黑" w:hAnsi="微软雅黑" w:eastAsia="微软雅黑" w:cs="微软雅黑"/>
          <w:color w:val="auto"/>
          <w:sz w:val="48"/>
          <w:szCs w:val="48"/>
          <w:u w:val="none"/>
          <w:lang w:eastAsia="zh-CN"/>
        </w:rPr>
      </w:pPr>
      <w:bookmarkStart w:id="76" w:name="_Toc31416"/>
      <w:r>
        <w:rPr>
          <w:rFonts w:hint="eastAsia" w:asciiTheme="majorEastAsia" w:hAnsiTheme="majorEastAsia" w:eastAsiaTheme="majorEastAsia" w:cstheme="majorEastAsia"/>
          <w:color w:val="auto"/>
          <w:sz w:val="44"/>
          <w:szCs w:val="44"/>
          <w:u w:val="none"/>
        </w:rPr>
        <w:t>及安装项目</w:t>
      </w:r>
      <w:r>
        <w:rPr>
          <w:rFonts w:hint="eastAsia" w:asciiTheme="majorEastAsia" w:hAnsiTheme="majorEastAsia" w:eastAsiaTheme="majorEastAsia" w:cstheme="majorEastAsia"/>
          <w:color w:val="auto"/>
          <w:sz w:val="44"/>
          <w:szCs w:val="44"/>
          <w:u w:val="single"/>
          <w:lang w:val="en-US" w:eastAsia="zh-CN"/>
        </w:rPr>
        <w:t xml:space="preserve">   </w:t>
      </w:r>
      <w:r>
        <w:rPr>
          <w:rFonts w:hint="eastAsia" w:asciiTheme="majorEastAsia" w:hAnsiTheme="majorEastAsia" w:eastAsiaTheme="majorEastAsia" w:cstheme="majorEastAsia"/>
          <w:color w:val="auto"/>
          <w:sz w:val="44"/>
          <w:szCs w:val="44"/>
          <w:u w:val="none"/>
          <w:lang w:eastAsia="zh-CN"/>
        </w:rPr>
        <w:t>（</w:t>
      </w:r>
      <w:r>
        <w:rPr>
          <w:rFonts w:hint="eastAsia" w:asciiTheme="majorEastAsia" w:hAnsiTheme="majorEastAsia" w:eastAsiaTheme="majorEastAsia" w:cstheme="majorEastAsia"/>
          <w:color w:val="auto"/>
          <w:sz w:val="44"/>
          <w:szCs w:val="44"/>
          <w:u w:val="none"/>
          <w:lang w:val="en-US" w:eastAsia="zh-CN"/>
        </w:rPr>
        <w:t>包段</w:t>
      </w:r>
      <w:r>
        <w:rPr>
          <w:rFonts w:hint="eastAsia" w:asciiTheme="majorEastAsia" w:hAnsiTheme="majorEastAsia" w:eastAsiaTheme="majorEastAsia" w:cstheme="majorEastAsia"/>
          <w:color w:val="auto"/>
          <w:sz w:val="44"/>
          <w:szCs w:val="44"/>
          <w:u w:val="none"/>
          <w:lang w:eastAsia="zh-CN"/>
        </w:rPr>
        <w:t>）</w:t>
      </w:r>
      <w:bookmarkEnd w:id="76"/>
    </w:p>
    <w:p w14:paraId="31590848">
      <w:pPr>
        <w:spacing w:line="440" w:lineRule="exact"/>
        <w:rPr>
          <w:rFonts w:ascii="Times New Roman" w:hAnsi="Times New Roman" w:eastAsia="黑体" w:cs="Times New Roman"/>
          <w:color w:val="auto"/>
          <w:sz w:val="24"/>
        </w:rPr>
      </w:pPr>
    </w:p>
    <w:p w14:paraId="3F9F85DA">
      <w:pPr>
        <w:spacing w:line="440" w:lineRule="exact"/>
        <w:rPr>
          <w:rFonts w:ascii="Times New Roman" w:hAnsi="Times New Roman" w:eastAsia="黑体" w:cs="Times New Roman"/>
          <w:color w:val="auto"/>
          <w:sz w:val="20"/>
          <w:szCs w:val="20"/>
        </w:rPr>
      </w:pPr>
      <w:r>
        <w:rPr>
          <w:rFonts w:ascii="Times New Roman" w:hAnsi="Times New Roman" w:eastAsia="黑体" w:cs="Times New Roman"/>
          <w:color w:val="auto"/>
          <w:sz w:val="20"/>
          <w:szCs w:val="20"/>
        </w:rPr>
        <w:t xml:space="preserve"> </w:t>
      </w:r>
    </w:p>
    <w:p w14:paraId="65DED1E9">
      <w:pPr>
        <w:spacing w:line="440" w:lineRule="exact"/>
        <w:rPr>
          <w:rFonts w:ascii="Times New Roman" w:hAnsi="Times New Roman" w:eastAsia="黑体" w:cs="Times New Roman"/>
          <w:color w:val="auto"/>
          <w:sz w:val="40"/>
          <w:szCs w:val="40"/>
        </w:rPr>
      </w:pPr>
    </w:p>
    <w:p w14:paraId="02657EF5">
      <w:pPr>
        <w:spacing w:line="440" w:lineRule="exact"/>
        <w:jc w:val="center"/>
        <w:rPr>
          <w:rFonts w:ascii="Times New Roman" w:hAnsi="Times New Roman" w:eastAsia="黑体" w:cs="Times New Roman"/>
          <w:color w:val="auto"/>
          <w:sz w:val="40"/>
          <w:szCs w:val="40"/>
        </w:rPr>
      </w:pPr>
    </w:p>
    <w:p w14:paraId="0AC436A1">
      <w:pPr>
        <w:spacing w:line="440" w:lineRule="exact"/>
        <w:jc w:val="center"/>
        <w:rPr>
          <w:rFonts w:ascii="Times New Roman" w:hAnsi="Times New Roman" w:eastAsia="黑体" w:cs="Times New Roman"/>
          <w:color w:val="auto"/>
          <w:sz w:val="40"/>
          <w:szCs w:val="40"/>
        </w:rPr>
      </w:pPr>
    </w:p>
    <w:p w14:paraId="247065C1">
      <w:pPr>
        <w:jc w:val="center"/>
        <w:rPr>
          <w:rFonts w:ascii="Times New Roman" w:hAnsi="Times New Roman" w:eastAsia="黑体" w:cs="Times New Roman"/>
          <w:color w:val="auto"/>
          <w:sz w:val="50"/>
          <w:szCs w:val="50"/>
        </w:rPr>
      </w:pPr>
      <w:bookmarkStart w:id="77" w:name="_Toc25266_WPSOffice_Level1"/>
      <w:bookmarkStart w:id="78" w:name="_Toc26260_WPSOffice_Level1"/>
      <w:bookmarkStart w:id="79" w:name="_Toc15083_WPSOffice_Level1"/>
      <w:r>
        <w:rPr>
          <w:rFonts w:ascii="Times New Roman" w:hAnsi="Times New Roman" w:eastAsia="黑体" w:cs="Times New Roman"/>
          <w:color w:val="auto"/>
          <w:sz w:val="50"/>
          <w:szCs w:val="50"/>
        </w:rPr>
        <w:t>响  应  文  件</w:t>
      </w:r>
      <w:bookmarkEnd w:id="77"/>
      <w:bookmarkEnd w:id="78"/>
      <w:bookmarkEnd w:id="79"/>
    </w:p>
    <w:p w14:paraId="0BA8C70F">
      <w:pPr>
        <w:spacing w:line="440" w:lineRule="exact"/>
        <w:rPr>
          <w:rFonts w:ascii="Times New Roman" w:hAnsi="Times New Roman" w:eastAsia="黑体" w:cs="Times New Roman"/>
          <w:color w:val="auto"/>
          <w:sz w:val="20"/>
          <w:szCs w:val="20"/>
        </w:rPr>
      </w:pPr>
    </w:p>
    <w:p w14:paraId="1D2712F4">
      <w:pPr>
        <w:spacing w:line="440" w:lineRule="exact"/>
        <w:rPr>
          <w:rFonts w:ascii="Times New Roman" w:hAnsi="Times New Roman" w:eastAsia="黑体" w:cs="Times New Roman"/>
          <w:color w:val="auto"/>
          <w:sz w:val="20"/>
          <w:szCs w:val="20"/>
        </w:rPr>
      </w:pPr>
    </w:p>
    <w:p w14:paraId="7F0EE78D">
      <w:pPr>
        <w:spacing w:line="440" w:lineRule="exact"/>
        <w:rPr>
          <w:rFonts w:ascii="Times New Roman" w:hAnsi="Times New Roman" w:eastAsia="黑体" w:cs="Times New Roman"/>
          <w:color w:val="auto"/>
          <w:sz w:val="20"/>
          <w:szCs w:val="20"/>
        </w:rPr>
      </w:pPr>
    </w:p>
    <w:p w14:paraId="79D60AA9">
      <w:pPr>
        <w:spacing w:line="440" w:lineRule="exact"/>
        <w:rPr>
          <w:rFonts w:ascii="Times New Roman" w:hAnsi="Times New Roman" w:eastAsia="黑体" w:cs="Times New Roman"/>
          <w:color w:val="auto"/>
          <w:sz w:val="20"/>
          <w:szCs w:val="20"/>
        </w:rPr>
      </w:pPr>
    </w:p>
    <w:p w14:paraId="2363F659">
      <w:pPr>
        <w:spacing w:line="440" w:lineRule="exact"/>
        <w:rPr>
          <w:rFonts w:ascii="Times New Roman" w:hAnsi="Times New Roman" w:eastAsia="黑体" w:cs="Times New Roman"/>
          <w:color w:val="auto"/>
          <w:sz w:val="20"/>
          <w:szCs w:val="20"/>
        </w:rPr>
      </w:pPr>
    </w:p>
    <w:p w14:paraId="4CEE7F09">
      <w:pPr>
        <w:spacing w:line="440" w:lineRule="exact"/>
        <w:rPr>
          <w:rFonts w:ascii="Times New Roman" w:hAnsi="Times New Roman" w:eastAsia="黑体" w:cs="Times New Roman"/>
          <w:color w:val="auto"/>
          <w:sz w:val="20"/>
          <w:szCs w:val="20"/>
        </w:rPr>
      </w:pPr>
    </w:p>
    <w:p w14:paraId="475D1B82">
      <w:pPr>
        <w:spacing w:line="440" w:lineRule="exact"/>
        <w:rPr>
          <w:rFonts w:ascii="Times New Roman" w:hAnsi="Times New Roman" w:eastAsia="黑体" w:cs="Times New Roman"/>
          <w:color w:val="auto"/>
          <w:sz w:val="20"/>
          <w:szCs w:val="20"/>
        </w:rPr>
      </w:pPr>
    </w:p>
    <w:p w14:paraId="59F51993">
      <w:pPr>
        <w:spacing w:line="440" w:lineRule="exact"/>
        <w:rPr>
          <w:rFonts w:ascii="Times New Roman" w:hAnsi="Times New Roman" w:eastAsia="黑体" w:cs="Times New Roman"/>
          <w:color w:val="auto"/>
          <w:sz w:val="20"/>
          <w:szCs w:val="20"/>
        </w:rPr>
      </w:pPr>
    </w:p>
    <w:p w14:paraId="2AE303F4">
      <w:pPr>
        <w:spacing w:line="440" w:lineRule="exact"/>
        <w:rPr>
          <w:rFonts w:ascii="Times New Roman" w:hAnsi="Times New Roman" w:eastAsia="黑体" w:cs="Times New Roman"/>
          <w:color w:val="auto"/>
          <w:sz w:val="20"/>
          <w:szCs w:val="20"/>
        </w:rPr>
      </w:pPr>
    </w:p>
    <w:p w14:paraId="621B8287">
      <w:pPr>
        <w:spacing w:line="440" w:lineRule="exact"/>
        <w:rPr>
          <w:rFonts w:ascii="Times New Roman" w:hAnsi="Times New Roman" w:eastAsia="黑体" w:cs="Times New Roman"/>
          <w:color w:val="auto"/>
          <w:sz w:val="20"/>
          <w:szCs w:val="20"/>
        </w:rPr>
      </w:pPr>
    </w:p>
    <w:p w14:paraId="546B5B8B">
      <w:pPr>
        <w:spacing w:line="440" w:lineRule="exact"/>
        <w:rPr>
          <w:rFonts w:ascii="Times New Roman" w:hAnsi="Times New Roman" w:eastAsia="黑体" w:cs="Times New Roman"/>
          <w:color w:val="auto"/>
          <w:sz w:val="20"/>
          <w:szCs w:val="20"/>
        </w:rPr>
      </w:pPr>
    </w:p>
    <w:p w14:paraId="35A3CFEB">
      <w:pPr>
        <w:spacing w:line="440" w:lineRule="exact"/>
        <w:jc w:val="center"/>
        <w:rPr>
          <w:rFonts w:ascii="Times New Roman" w:hAnsi="Times New Roman" w:eastAsia="黑体" w:cs="Times New Roman"/>
          <w:color w:val="auto"/>
          <w:sz w:val="28"/>
          <w:szCs w:val="28"/>
        </w:rPr>
      </w:pPr>
      <w:bookmarkStart w:id="80" w:name="_Toc28179_WPSOffice_Level2"/>
      <w:bookmarkStart w:id="81" w:name="_Toc2006_WPSOffice_Level2"/>
      <w:bookmarkStart w:id="82" w:name="_Toc21458_WPSOffice_Level2"/>
      <w:bookmarkStart w:id="83" w:name="_Toc25232_WPSOffice_Level2"/>
      <w:bookmarkStart w:id="84" w:name="_Toc16389_WPSOffice_Level1"/>
      <w:bookmarkStart w:id="85" w:name="_Toc23599_WPSOffice_Level2"/>
      <w:bookmarkStart w:id="86" w:name="_Toc3653_WPSOffice_Level1"/>
      <w:bookmarkStart w:id="87" w:name="_Toc5520_WPSOffice_Level2"/>
      <w:bookmarkStart w:id="88" w:name="_Toc14769_WPSOffice_Level2"/>
      <w:r>
        <w:rPr>
          <w:rFonts w:ascii="Times New Roman" w:hAnsi="Times New Roman" w:eastAsia="黑体" w:cs="Times New Roman"/>
          <w:color w:val="auto"/>
          <w:sz w:val="28"/>
          <w:szCs w:val="28"/>
        </w:rPr>
        <w:t>供应商：</w:t>
      </w:r>
      <w:r>
        <w:rPr>
          <w:rFonts w:ascii="Times New Roman" w:hAnsi="Times New Roman" w:eastAsia="黑体" w:cs="Times New Roman"/>
          <w:color w:val="auto"/>
          <w:sz w:val="28"/>
          <w:szCs w:val="28"/>
          <w:u w:val="single"/>
        </w:rPr>
        <w:t xml:space="preserve">            (全称、盖单位章)</w:t>
      </w:r>
      <w:bookmarkEnd w:id="80"/>
      <w:bookmarkEnd w:id="81"/>
      <w:bookmarkEnd w:id="82"/>
      <w:bookmarkEnd w:id="83"/>
      <w:bookmarkEnd w:id="84"/>
      <w:bookmarkEnd w:id="85"/>
      <w:bookmarkEnd w:id="86"/>
      <w:bookmarkEnd w:id="87"/>
      <w:bookmarkEnd w:id="88"/>
      <w:r>
        <w:rPr>
          <w:rFonts w:ascii="Times New Roman" w:hAnsi="Times New Roman" w:eastAsia="黑体" w:cs="Times New Roman"/>
          <w:color w:val="auto"/>
          <w:sz w:val="28"/>
          <w:szCs w:val="28"/>
          <w:u w:val="single"/>
        </w:rPr>
        <w:t xml:space="preserve">   </w:t>
      </w:r>
    </w:p>
    <w:p w14:paraId="686C3DD7">
      <w:pPr>
        <w:spacing w:line="440" w:lineRule="exact"/>
        <w:ind w:firstLine="2158" w:firstLineChars="771"/>
        <w:rPr>
          <w:rFonts w:ascii="Times New Roman" w:hAnsi="Times New Roman" w:eastAsia="黑体" w:cs="Times New Roman"/>
          <w:color w:val="auto"/>
          <w:sz w:val="28"/>
          <w:szCs w:val="28"/>
        </w:rPr>
      </w:pPr>
    </w:p>
    <w:p w14:paraId="1B8D4849">
      <w:pPr>
        <w:spacing w:line="440" w:lineRule="exact"/>
        <w:jc w:val="center"/>
        <w:rPr>
          <w:rFonts w:ascii="Times New Roman" w:hAnsi="Times New Roman" w:eastAsia="黑体" w:cs="Times New Roman"/>
          <w:color w:val="auto"/>
          <w:sz w:val="28"/>
          <w:szCs w:val="28"/>
        </w:rPr>
      </w:pPr>
      <w:r>
        <w:rPr>
          <w:rFonts w:ascii="Times New Roman" w:hAnsi="Times New Roman" w:eastAsia="黑体" w:cs="Times New Roman"/>
          <w:color w:val="auto"/>
          <w:sz w:val="28"/>
          <w:szCs w:val="28"/>
          <w:u w:val="single"/>
        </w:rPr>
        <w:t xml:space="preserve">        </w:t>
      </w:r>
      <w:bookmarkStart w:id="89" w:name="_Toc20398_WPSOffice_Level2"/>
      <w:bookmarkStart w:id="90" w:name="_Toc30763_WPSOffice_Level2"/>
      <w:bookmarkStart w:id="91" w:name="_Toc20076_WPSOffice_Level2"/>
      <w:bookmarkStart w:id="92" w:name="_Toc3668_WPSOffice_Level2"/>
      <w:bookmarkStart w:id="93" w:name="_Toc3948_WPSOffice_Level2"/>
      <w:bookmarkStart w:id="94" w:name="_Toc1902_WPSOffice_Level2"/>
      <w:bookmarkStart w:id="95" w:name="_Toc30382_WPSOffice_Level1"/>
      <w:bookmarkStart w:id="96" w:name="_Toc21748_WPSOffice_Level1"/>
      <w:bookmarkStart w:id="97" w:name="_Toc31577_WPSOffice_Level2"/>
      <w:r>
        <w:rPr>
          <w:rFonts w:ascii="Times New Roman" w:hAnsi="Times New Roman" w:eastAsia="黑体" w:cs="Times New Roman"/>
          <w:color w:val="auto"/>
          <w:sz w:val="28"/>
          <w:szCs w:val="28"/>
        </w:rPr>
        <w:t>年</w:t>
      </w:r>
      <w:r>
        <w:rPr>
          <w:rFonts w:ascii="Times New Roman" w:hAnsi="Times New Roman" w:eastAsia="黑体" w:cs="Times New Roman"/>
          <w:color w:val="auto"/>
          <w:sz w:val="28"/>
          <w:szCs w:val="28"/>
          <w:u w:val="single"/>
        </w:rPr>
        <w:t xml:space="preserve">     </w:t>
      </w:r>
      <w:r>
        <w:rPr>
          <w:rFonts w:ascii="Times New Roman" w:hAnsi="Times New Roman" w:eastAsia="黑体" w:cs="Times New Roman"/>
          <w:color w:val="auto"/>
          <w:sz w:val="28"/>
          <w:szCs w:val="28"/>
        </w:rPr>
        <w:t>月</w:t>
      </w:r>
      <w:r>
        <w:rPr>
          <w:rFonts w:ascii="Times New Roman" w:hAnsi="Times New Roman" w:eastAsia="黑体" w:cs="Times New Roman"/>
          <w:color w:val="auto"/>
          <w:sz w:val="28"/>
          <w:szCs w:val="28"/>
          <w:u w:val="single"/>
        </w:rPr>
        <w:t xml:space="preserve">     </w:t>
      </w:r>
      <w:r>
        <w:rPr>
          <w:rFonts w:ascii="Times New Roman" w:hAnsi="Times New Roman" w:eastAsia="黑体" w:cs="Times New Roman"/>
          <w:color w:val="auto"/>
          <w:sz w:val="28"/>
          <w:szCs w:val="28"/>
        </w:rPr>
        <w:t>日</w:t>
      </w:r>
      <w:bookmarkEnd w:id="89"/>
      <w:bookmarkEnd w:id="90"/>
      <w:bookmarkEnd w:id="91"/>
      <w:bookmarkEnd w:id="92"/>
      <w:bookmarkEnd w:id="93"/>
      <w:bookmarkEnd w:id="94"/>
      <w:bookmarkEnd w:id="95"/>
      <w:bookmarkEnd w:id="96"/>
      <w:bookmarkEnd w:id="97"/>
    </w:p>
    <w:p w14:paraId="161AD092">
      <w:pPr>
        <w:spacing w:line="440" w:lineRule="exact"/>
        <w:rPr>
          <w:rFonts w:ascii="Times New Roman" w:hAnsi="Times New Roman" w:eastAsia="黑体" w:cs="Times New Roman"/>
          <w:color w:val="auto"/>
          <w:sz w:val="28"/>
          <w:szCs w:val="28"/>
        </w:rPr>
      </w:pPr>
    </w:p>
    <w:p w14:paraId="1DC01F6C">
      <w:pPr>
        <w:spacing w:line="440" w:lineRule="exact"/>
        <w:jc w:val="center"/>
        <w:rPr>
          <w:rFonts w:ascii="Times New Roman" w:hAnsi="Times New Roman" w:eastAsia="黑体" w:cs="Times New Roman"/>
          <w:color w:val="auto"/>
          <w:sz w:val="28"/>
          <w:szCs w:val="28"/>
        </w:rPr>
      </w:pPr>
      <w:r>
        <w:rPr>
          <w:rFonts w:ascii="Times New Roman" w:hAnsi="Times New Roman" w:eastAsia="黑体" w:cs="Times New Roman"/>
          <w:color w:val="auto"/>
          <w:sz w:val="20"/>
          <w:szCs w:val="20"/>
        </w:rPr>
        <w:br w:type="page"/>
      </w:r>
      <w:bookmarkStart w:id="98" w:name="_Toc31224_WPSOffice_Level2"/>
      <w:bookmarkStart w:id="99" w:name="_Toc9551_WPSOffice_Level1"/>
      <w:bookmarkStart w:id="100" w:name="_Toc882_WPSOffice_Level2"/>
      <w:bookmarkStart w:id="101" w:name="_Toc29095_WPSOffice_Level2"/>
      <w:bookmarkStart w:id="102" w:name="_Toc22351_WPSOffice_Level2"/>
      <w:bookmarkStart w:id="103" w:name="_Toc24832_WPSOffice_Level2"/>
      <w:bookmarkStart w:id="104" w:name="_Toc21974_WPSOffice_Level2"/>
      <w:bookmarkStart w:id="105" w:name="_Toc7952_WPSOffice_Level2"/>
      <w:bookmarkStart w:id="106" w:name="_Toc96_WPSOffice_Level1"/>
      <w:r>
        <w:rPr>
          <w:rFonts w:ascii="Times New Roman" w:hAnsi="Times New Roman" w:eastAsia="黑体" w:cs="Times New Roman"/>
          <w:color w:val="auto"/>
          <w:sz w:val="28"/>
          <w:szCs w:val="28"/>
        </w:rPr>
        <w:t>目     录</w:t>
      </w:r>
      <w:bookmarkEnd w:id="98"/>
      <w:bookmarkEnd w:id="99"/>
      <w:bookmarkEnd w:id="100"/>
      <w:bookmarkEnd w:id="101"/>
      <w:bookmarkEnd w:id="102"/>
      <w:bookmarkEnd w:id="103"/>
      <w:bookmarkEnd w:id="104"/>
      <w:bookmarkEnd w:id="105"/>
      <w:bookmarkEnd w:id="106"/>
    </w:p>
    <w:p w14:paraId="6E82366B">
      <w:pPr>
        <w:spacing w:line="440" w:lineRule="exact"/>
        <w:rPr>
          <w:rFonts w:ascii="Times New Roman" w:hAnsi="Times New Roman" w:eastAsia="黑体" w:cs="Times New Roman"/>
          <w:color w:val="auto"/>
          <w:sz w:val="20"/>
          <w:szCs w:val="20"/>
        </w:rPr>
      </w:pPr>
    </w:p>
    <w:p w14:paraId="146E8BF4">
      <w:pPr>
        <w:spacing w:line="440" w:lineRule="exact"/>
        <w:ind w:left="1619" w:leftChars="771"/>
        <w:rPr>
          <w:rFonts w:ascii="Times New Roman" w:hAnsi="Times New Roman" w:eastAsia="黑体" w:cs="Times New Roman"/>
          <w:color w:val="auto"/>
          <w:sz w:val="24"/>
        </w:rPr>
      </w:pPr>
      <w:bookmarkStart w:id="107" w:name="_Toc30529_WPSOffice_Level1"/>
      <w:bookmarkStart w:id="108" w:name="_Toc23368_WPSOffice_Level1"/>
      <w:bookmarkStart w:id="109" w:name="_Toc9021_WPSOffice_Level1"/>
      <w:bookmarkStart w:id="110" w:name="_Toc12670_WPSOffice_Level1"/>
      <w:bookmarkStart w:id="111" w:name="_Toc11424_WPSOffice_Level1"/>
      <w:bookmarkStart w:id="112" w:name="_Toc26987_WPSOffice_Level1"/>
      <w:bookmarkStart w:id="113" w:name="_Toc6353_WPSOffice_Level1"/>
      <w:r>
        <w:rPr>
          <w:rFonts w:ascii="Times New Roman" w:hAnsi="Times New Roman" w:eastAsia="黑体" w:cs="Times New Roman"/>
          <w:color w:val="auto"/>
          <w:sz w:val="24"/>
        </w:rPr>
        <w:t>一、报价函</w:t>
      </w:r>
      <w:bookmarkEnd w:id="107"/>
      <w:bookmarkEnd w:id="108"/>
      <w:bookmarkEnd w:id="109"/>
      <w:bookmarkEnd w:id="110"/>
      <w:bookmarkEnd w:id="111"/>
      <w:bookmarkEnd w:id="112"/>
      <w:bookmarkEnd w:id="113"/>
    </w:p>
    <w:p w14:paraId="6FFBC476">
      <w:pPr>
        <w:spacing w:line="440" w:lineRule="exact"/>
        <w:ind w:left="1619" w:leftChars="771"/>
        <w:rPr>
          <w:rFonts w:ascii="Times New Roman" w:hAnsi="Times New Roman" w:eastAsia="黑体" w:cs="Times New Roman"/>
          <w:color w:val="auto"/>
          <w:sz w:val="24"/>
        </w:rPr>
      </w:pPr>
      <w:bookmarkStart w:id="114" w:name="_Toc3742_WPSOffice_Level1"/>
      <w:bookmarkStart w:id="115" w:name="_Toc5317_WPSOffice_Level1"/>
      <w:bookmarkStart w:id="116" w:name="_Toc21229_WPSOffice_Level1"/>
      <w:bookmarkStart w:id="117" w:name="_Toc32729_WPSOffice_Level1"/>
      <w:bookmarkStart w:id="118" w:name="_Toc31927_WPSOffice_Level1"/>
      <w:bookmarkStart w:id="119" w:name="_Toc14150_WPSOffice_Level1"/>
      <w:bookmarkStart w:id="120" w:name="_Toc26052_WPSOffice_Level1"/>
      <w:r>
        <w:rPr>
          <w:rFonts w:ascii="Times New Roman" w:hAnsi="Times New Roman" w:eastAsia="黑体" w:cs="Times New Roman"/>
          <w:color w:val="auto"/>
          <w:sz w:val="24"/>
        </w:rPr>
        <w:t>二、</w:t>
      </w:r>
      <w:bookmarkEnd w:id="114"/>
      <w:bookmarkEnd w:id="115"/>
      <w:bookmarkEnd w:id="116"/>
      <w:bookmarkEnd w:id="117"/>
      <w:bookmarkEnd w:id="118"/>
      <w:bookmarkEnd w:id="119"/>
      <w:bookmarkEnd w:id="120"/>
      <w:r>
        <w:rPr>
          <w:rFonts w:hint="eastAsia" w:ascii="Times New Roman" w:hAnsi="Times New Roman" w:eastAsia="黑体" w:cs="Times New Roman"/>
          <w:color w:val="auto"/>
          <w:sz w:val="24"/>
        </w:rPr>
        <w:t>法定代表人身份证明及授权委托书</w:t>
      </w:r>
    </w:p>
    <w:p w14:paraId="28ACE53F">
      <w:pPr>
        <w:spacing w:line="440" w:lineRule="exact"/>
        <w:ind w:left="1619" w:leftChars="771"/>
        <w:rPr>
          <w:rFonts w:ascii="Times New Roman" w:hAnsi="Times New Roman" w:eastAsia="黑体" w:cs="Times New Roman"/>
          <w:color w:val="auto"/>
          <w:sz w:val="24"/>
        </w:rPr>
      </w:pPr>
      <w:bookmarkStart w:id="121" w:name="_Toc29085_WPSOffice_Level1"/>
      <w:bookmarkStart w:id="122" w:name="_Toc25652_WPSOffice_Level1"/>
      <w:bookmarkStart w:id="123" w:name="_Toc25965_WPSOffice_Level1"/>
      <w:bookmarkStart w:id="124" w:name="_Toc4728_WPSOffice_Level1"/>
      <w:bookmarkStart w:id="125" w:name="_Toc23356_WPSOffice_Level1"/>
      <w:bookmarkStart w:id="126" w:name="_Toc11822_WPSOffice_Level1"/>
      <w:bookmarkStart w:id="127" w:name="_Toc20535_WPSOffice_Level1"/>
      <w:r>
        <w:rPr>
          <w:rFonts w:hint="eastAsia" w:ascii="Times New Roman" w:hAnsi="Times New Roman" w:eastAsia="黑体" w:cs="Times New Roman"/>
          <w:color w:val="auto"/>
          <w:sz w:val="24"/>
        </w:rPr>
        <w:t>三</w:t>
      </w:r>
      <w:r>
        <w:rPr>
          <w:rFonts w:ascii="Times New Roman" w:hAnsi="Times New Roman" w:eastAsia="黑体" w:cs="Times New Roman"/>
          <w:color w:val="auto"/>
          <w:sz w:val="24"/>
        </w:rPr>
        <w:t>、已标价</w:t>
      </w:r>
      <w:r>
        <w:rPr>
          <w:rFonts w:hint="eastAsia" w:ascii="Times New Roman" w:hAnsi="Times New Roman" w:eastAsia="黑体" w:cs="Times New Roman"/>
          <w:color w:val="auto"/>
          <w:sz w:val="24"/>
        </w:rPr>
        <w:t>的报</w:t>
      </w:r>
      <w:bookmarkEnd w:id="121"/>
      <w:r>
        <w:rPr>
          <w:rFonts w:hint="eastAsia" w:ascii="Times New Roman" w:hAnsi="Times New Roman" w:eastAsia="黑体" w:cs="Times New Roman"/>
          <w:color w:val="auto"/>
          <w:sz w:val="24"/>
        </w:rPr>
        <w:t>价</w:t>
      </w:r>
      <w:r>
        <w:rPr>
          <w:rFonts w:ascii="Times New Roman" w:hAnsi="Times New Roman" w:eastAsia="黑体" w:cs="Times New Roman"/>
          <w:color w:val="auto"/>
          <w:sz w:val="24"/>
        </w:rPr>
        <w:t>清单</w:t>
      </w:r>
      <w:bookmarkEnd w:id="122"/>
      <w:bookmarkEnd w:id="123"/>
      <w:bookmarkEnd w:id="124"/>
      <w:bookmarkEnd w:id="125"/>
      <w:bookmarkEnd w:id="126"/>
      <w:bookmarkEnd w:id="127"/>
    </w:p>
    <w:p w14:paraId="0BE35777">
      <w:pPr>
        <w:spacing w:line="440" w:lineRule="exact"/>
        <w:ind w:left="1619" w:leftChars="771"/>
        <w:rPr>
          <w:rFonts w:ascii="Times New Roman" w:hAnsi="Times New Roman" w:eastAsia="黑体" w:cs="Times New Roman"/>
          <w:color w:val="auto"/>
          <w:sz w:val="24"/>
        </w:rPr>
      </w:pPr>
      <w:bookmarkStart w:id="128" w:name="_Toc7286_WPSOffice_Level1"/>
      <w:bookmarkStart w:id="129" w:name="_Toc7453_WPSOffice_Level1"/>
      <w:bookmarkStart w:id="130" w:name="_Toc18964_WPSOffice_Level1"/>
      <w:bookmarkStart w:id="131" w:name="_Toc10608_WPSOffice_Level1"/>
      <w:bookmarkStart w:id="132" w:name="_Toc23744_WPSOffice_Level1"/>
      <w:bookmarkStart w:id="133" w:name="_Toc24870_WPSOffice_Level1"/>
      <w:bookmarkStart w:id="134" w:name="_Toc27790_WPSOffice_Level1"/>
      <w:r>
        <w:rPr>
          <w:rFonts w:hint="eastAsia" w:ascii="Times New Roman" w:hAnsi="Times New Roman" w:eastAsia="黑体" w:cs="Times New Roman"/>
          <w:color w:val="auto"/>
          <w:sz w:val="24"/>
        </w:rPr>
        <w:t>四</w:t>
      </w:r>
      <w:r>
        <w:rPr>
          <w:rFonts w:ascii="Times New Roman" w:hAnsi="Times New Roman" w:eastAsia="黑体" w:cs="Times New Roman"/>
          <w:color w:val="auto"/>
          <w:sz w:val="24"/>
        </w:rPr>
        <w:t>、</w:t>
      </w:r>
      <w:bookmarkEnd w:id="128"/>
      <w:bookmarkEnd w:id="129"/>
      <w:bookmarkEnd w:id="130"/>
      <w:bookmarkEnd w:id="131"/>
      <w:r>
        <w:rPr>
          <w:rFonts w:hint="eastAsia" w:ascii="Times New Roman" w:hAnsi="Times New Roman" w:eastAsia="黑体" w:cs="Times New Roman"/>
          <w:color w:val="auto"/>
          <w:sz w:val="24"/>
        </w:rPr>
        <w:t>供应商基本情况</w:t>
      </w:r>
      <w:bookmarkEnd w:id="132"/>
      <w:bookmarkEnd w:id="133"/>
      <w:bookmarkEnd w:id="134"/>
    </w:p>
    <w:p w14:paraId="2B9F1ED6">
      <w:pPr>
        <w:spacing w:line="440" w:lineRule="exact"/>
        <w:ind w:left="1619" w:leftChars="771"/>
        <w:rPr>
          <w:rFonts w:ascii="Times New Roman" w:hAnsi="Times New Roman" w:eastAsia="黑体" w:cs="Times New Roman"/>
          <w:color w:val="auto"/>
          <w:sz w:val="24"/>
        </w:rPr>
      </w:pPr>
      <w:r>
        <w:rPr>
          <w:rFonts w:hint="eastAsia" w:ascii="Times New Roman" w:hAnsi="Times New Roman" w:eastAsia="黑体" w:cs="Times New Roman"/>
          <w:color w:val="auto"/>
          <w:sz w:val="24"/>
        </w:rPr>
        <w:t>五、近年类似业绩情况</w:t>
      </w:r>
    </w:p>
    <w:p w14:paraId="126ED0D6">
      <w:pPr>
        <w:spacing w:line="440" w:lineRule="exact"/>
        <w:ind w:left="1619" w:leftChars="771"/>
        <w:rPr>
          <w:rFonts w:ascii="Times New Roman" w:hAnsi="Times New Roman" w:eastAsia="黑体" w:cs="Times New Roman"/>
          <w:color w:val="auto"/>
          <w:sz w:val="24"/>
        </w:rPr>
      </w:pPr>
      <w:bookmarkStart w:id="135" w:name="_Toc8423_WPSOffice_Level1"/>
      <w:bookmarkStart w:id="136" w:name="_Toc21092_WPSOffice_Level1"/>
      <w:bookmarkStart w:id="137" w:name="_Toc16988_WPSOffice_Level1"/>
      <w:bookmarkStart w:id="138" w:name="_Toc5885_WPSOffice_Level1"/>
      <w:r>
        <w:rPr>
          <w:rFonts w:hint="eastAsia" w:ascii="Times New Roman" w:hAnsi="Times New Roman" w:eastAsia="黑体" w:cs="Times New Roman"/>
          <w:color w:val="auto"/>
          <w:sz w:val="24"/>
        </w:rPr>
        <w:t>六、</w:t>
      </w:r>
      <w:bookmarkEnd w:id="135"/>
      <w:bookmarkEnd w:id="136"/>
      <w:bookmarkEnd w:id="137"/>
      <w:bookmarkEnd w:id="138"/>
      <w:r>
        <w:rPr>
          <w:rFonts w:hint="eastAsia" w:ascii="Times New Roman" w:hAnsi="Times New Roman" w:eastAsia="黑体" w:cs="Times New Roman"/>
          <w:color w:val="auto"/>
          <w:sz w:val="24"/>
        </w:rPr>
        <w:t>信誉情况</w:t>
      </w:r>
    </w:p>
    <w:p w14:paraId="404E5418">
      <w:pPr>
        <w:spacing w:line="440" w:lineRule="exact"/>
        <w:ind w:left="1619" w:leftChars="771"/>
        <w:rPr>
          <w:rFonts w:ascii="Times New Roman" w:hAnsi="Times New Roman" w:eastAsia="黑体" w:cs="Times New Roman"/>
          <w:color w:val="auto"/>
          <w:sz w:val="24"/>
        </w:rPr>
      </w:pPr>
      <w:r>
        <w:rPr>
          <w:rFonts w:hint="eastAsia" w:ascii="Times New Roman" w:hAnsi="Times New Roman" w:eastAsia="黑体" w:cs="Times New Roman"/>
          <w:color w:val="auto"/>
          <w:sz w:val="24"/>
        </w:rPr>
        <w:t>七、其它材料</w:t>
      </w:r>
    </w:p>
    <w:p w14:paraId="17FCF8F5">
      <w:pPr>
        <w:spacing w:line="440" w:lineRule="exact"/>
        <w:ind w:left="1619" w:leftChars="771"/>
        <w:rPr>
          <w:rFonts w:ascii="Times New Roman" w:hAnsi="Times New Roman" w:eastAsia="黑体" w:cs="Times New Roman"/>
          <w:color w:val="auto"/>
          <w:sz w:val="24"/>
        </w:rPr>
      </w:pPr>
    </w:p>
    <w:p w14:paraId="5EE7997B">
      <w:pPr>
        <w:spacing w:line="440" w:lineRule="exact"/>
        <w:ind w:left="1619" w:leftChars="771"/>
        <w:rPr>
          <w:rFonts w:ascii="Times New Roman" w:hAnsi="Times New Roman" w:eastAsia="黑体" w:cs="Times New Roman"/>
          <w:color w:val="auto"/>
          <w:sz w:val="24"/>
        </w:rPr>
      </w:pPr>
    </w:p>
    <w:p w14:paraId="75F7F2A6">
      <w:pPr>
        <w:spacing w:line="440" w:lineRule="exact"/>
        <w:rPr>
          <w:rFonts w:ascii="Times New Roman" w:hAnsi="Times New Roman" w:eastAsia="黑体" w:cs="Times New Roman"/>
          <w:color w:val="auto"/>
          <w:sz w:val="28"/>
          <w:szCs w:val="28"/>
        </w:rPr>
      </w:pPr>
      <w:r>
        <w:rPr>
          <w:rFonts w:ascii="Times New Roman" w:hAnsi="Times New Roman" w:eastAsia="黑体" w:cs="Times New Roman"/>
          <w:color w:val="auto"/>
          <w:sz w:val="20"/>
          <w:szCs w:val="20"/>
        </w:rPr>
        <w:br w:type="page"/>
      </w:r>
      <w:bookmarkStart w:id="139" w:name="_Toc27336_WPSOffice_Level1"/>
      <w:bookmarkStart w:id="140" w:name="_Toc29334_WPSOffice_Level1"/>
    </w:p>
    <w:p w14:paraId="4424CAE2">
      <w:pPr>
        <w:spacing w:line="440" w:lineRule="exact"/>
        <w:jc w:val="center"/>
        <w:outlineLvl w:val="1"/>
        <w:rPr>
          <w:rFonts w:ascii="Times New Roman" w:hAnsi="Times New Roman" w:eastAsia="黑体" w:cs="Times New Roman"/>
          <w:color w:val="auto"/>
          <w:sz w:val="28"/>
          <w:szCs w:val="28"/>
        </w:rPr>
      </w:pPr>
      <w:r>
        <w:rPr>
          <w:rFonts w:ascii="Times New Roman" w:hAnsi="Times New Roman" w:eastAsia="黑体" w:cs="Times New Roman"/>
          <w:color w:val="auto"/>
          <w:sz w:val="28"/>
          <w:szCs w:val="28"/>
        </w:rPr>
        <w:t>一、报价函</w:t>
      </w:r>
      <w:bookmarkEnd w:id="139"/>
      <w:bookmarkEnd w:id="140"/>
    </w:p>
    <w:p w14:paraId="52880E40">
      <w:pPr>
        <w:spacing w:line="440" w:lineRule="exact"/>
        <w:rPr>
          <w:rFonts w:ascii="Times New Roman" w:hAnsi="Times New Roman" w:cs="Times New Roman"/>
          <w:color w:val="auto"/>
          <w:sz w:val="24"/>
        </w:rPr>
      </w:pPr>
      <w:r>
        <w:rPr>
          <w:rFonts w:ascii="Times New Roman" w:hAnsi="Times New Roman" w:cs="Times New Roman"/>
          <w:color w:val="auto"/>
          <w:sz w:val="24"/>
        </w:rPr>
        <w:t xml:space="preserve"> </w:t>
      </w:r>
    </w:p>
    <w:p w14:paraId="29F5DB0D">
      <w:pPr>
        <w:spacing w:line="440" w:lineRule="exact"/>
        <w:rPr>
          <w:rFonts w:hint="eastAsia" w:ascii="Times New Roman" w:hAnsi="Times New Roman" w:eastAsia="Times New Roman"/>
          <w:color w:val="auto"/>
          <w:sz w:val="24"/>
          <w:szCs w:val="24"/>
          <w:highlight w:val="none"/>
        </w:rPr>
      </w:pPr>
      <w:r>
        <w:rPr>
          <w:rFonts w:hint="eastAsia" w:ascii="Times New Roman" w:hAnsi="Times New Roman"/>
          <w:color w:val="auto"/>
          <w:sz w:val="24"/>
          <w:szCs w:val="24"/>
          <w:highlight w:val="none"/>
          <w:u w:val="single"/>
          <w:lang w:eastAsia="zh-CN"/>
        </w:rPr>
        <w:t>安徽省经工物资有限公司</w:t>
      </w:r>
      <w:r>
        <w:rPr>
          <w:rFonts w:hint="eastAsia" w:ascii="Times New Roman" w:hAnsi="Times New Roman"/>
          <w:color w:val="auto"/>
          <w:sz w:val="24"/>
          <w:szCs w:val="24"/>
          <w:highlight w:val="none"/>
        </w:rPr>
        <w:t>：</w:t>
      </w:r>
    </w:p>
    <w:p w14:paraId="46E67331">
      <w:pPr>
        <w:pStyle w:val="2"/>
        <w:rPr>
          <w:rFonts w:hint="default"/>
          <w:color w:val="auto"/>
          <w:sz w:val="21"/>
          <w:szCs w:val="24"/>
          <w:highlight w:val="none"/>
        </w:rPr>
      </w:pPr>
    </w:p>
    <w:p w14:paraId="046F8CE2">
      <w:pPr>
        <w:widowControl/>
        <w:ind w:firstLine="480" w:firstLineChars="200"/>
        <w:jc w:val="left"/>
        <w:rPr>
          <w:rFonts w:hint="eastAsia" w:ascii="Times New Roman" w:hAnsi="Times New Roman" w:eastAsia="Times New Roman"/>
          <w:color w:val="auto"/>
          <w:sz w:val="24"/>
          <w:szCs w:val="24"/>
          <w:highlight w:val="none"/>
        </w:rPr>
      </w:pPr>
      <w:r>
        <w:rPr>
          <w:rFonts w:hint="eastAsia" w:ascii="Times New Roman" w:hAnsi="Times New Roman" w:eastAsia="Times New Roman"/>
          <w:color w:val="auto"/>
          <w:sz w:val="24"/>
          <w:szCs w:val="24"/>
          <w:highlight w:val="none"/>
        </w:rPr>
        <w:t>1</w:t>
      </w:r>
      <w:r>
        <w:rPr>
          <w:rFonts w:hint="eastAsia" w:ascii="Times New Roman" w:hAnsi="Times New Roman"/>
          <w:color w:val="auto"/>
          <w:sz w:val="24"/>
          <w:szCs w:val="24"/>
          <w:highlight w:val="none"/>
        </w:rPr>
        <w:t>．我方已仔细研究</w:t>
      </w:r>
      <w:r>
        <w:rPr>
          <w:rFonts w:hint="eastAsia" w:ascii="Times New Roman" w:hAnsi="Times New Roman"/>
          <w:color w:val="auto"/>
          <w:sz w:val="24"/>
          <w:szCs w:val="24"/>
          <w:highlight w:val="none"/>
          <w:u w:val="single"/>
        </w:rPr>
        <w:t>东至至鄱阳高速公路安徽段东至管理分中心项目、G0321德州至上饶高速公路祁门至皖赣界段房建工程项目电器采购及安装项目</w:t>
      </w:r>
      <w:r>
        <w:rPr>
          <w:rFonts w:hint="eastAsia" w:ascii="Times New Roman" w:hAnsi="Times New Roman" w:eastAsia="Times New Roman"/>
          <w:color w:val="auto"/>
          <w:sz w:val="24"/>
          <w:szCs w:val="24"/>
          <w:highlight w:val="none"/>
        </w:rPr>
        <w:t>(</w:t>
      </w:r>
      <w:r>
        <w:rPr>
          <w:rFonts w:hint="eastAsia" w:ascii="Times New Roman" w:hAnsi="Times New Roman"/>
          <w:color w:val="auto"/>
          <w:sz w:val="24"/>
          <w:szCs w:val="24"/>
          <w:highlight w:val="none"/>
        </w:rPr>
        <w:t>项目名称)</w:t>
      </w:r>
      <w:r>
        <w:rPr>
          <w:rFonts w:hint="eastAsia" w:ascii="Times New Roman" w:hAnsi="Times New Roman"/>
          <w:color w:val="auto"/>
          <w:sz w:val="24"/>
          <w:szCs w:val="24"/>
          <w:highlight w:val="none"/>
          <w:u w:val="single"/>
          <w:lang w:val="en-US" w:eastAsia="zh-CN"/>
        </w:rPr>
        <w:t xml:space="preserve">     </w:t>
      </w:r>
      <w:r>
        <w:rPr>
          <w:rFonts w:hint="eastAsia" w:ascii="Times New Roman" w:hAnsi="Times New Roman"/>
          <w:color w:val="auto"/>
          <w:sz w:val="24"/>
          <w:szCs w:val="24"/>
          <w:highlight w:val="none"/>
          <w:lang w:eastAsia="zh-CN"/>
        </w:rPr>
        <w:t>（</w:t>
      </w:r>
      <w:r>
        <w:rPr>
          <w:rFonts w:hint="eastAsia" w:ascii="Times New Roman" w:hAnsi="Times New Roman"/>
          <w:color w:val="auto"/>
          <w:sz w:val="24"/>
          <w:szCs w:val="24"/>
          <w:highlight w:val="none"/>
          <w:lang w:val="en-US" w:eastAsia="zh-CN"/>
        </w:rPr>
        <w:t>包段</w:t>
      </w:r>
      <w:r>
        <w:rPr>
          <w:rFonts w:hint="eastAsia" w:ascii="Times New Roman" w:hAnsi="Times New Roman"/>
          <w:color w:val="auto"/>
          <w:sz w:val="24"/>
          <w:szCs w:val="24"/>
          <w:highlight w:val="none"/>
          <w:lang w:eastAsia="zh-CN"/>
        </w:rPr>
        <w:t>）</w:t>
      </w:r>
      <w:r>
        <w:rPr>
          <w:rFonts w:hint="eastAsia" w:ascii="Times New Roman" w:hAnsi="Times New Roman"/>
          <w:color w:val="auto"/>
          <w:sz w:val="24"/>
          <w:szCs w:val="24"/>
          <w:highlight w:val="none"/>
        </w:rPr>
        <w:t>采购文件的全部内容（包括工程量清单和施工图纸及采购文件中所述的各种因素），愿意以人民币（大写）</w:t>
      </w:r>
      <w:r>
        <w:rPr>
          <w:rFonts w:hint="eastAsia" w:ascii="Times New Roman" w:hAnsi="Times New Roman"/>
          <w:color w:val="auto"/>
          <w:sz w:val="24"/>
          <w:szCs w:val="24"/>
          <w:highlight w:val="none"/>
          <w:u w:val="single"/>
        </w:rPr>
        <w:t xml:space="preserve">      </w:t>
      </w:r>
      <w:r>
        <w:rPr>
          <w:rFonts w:hint="eastAsia" w:ascii="Times New Roman" w:hAnsi="Times New Roman"/>
          <w:color w:val="auto"/>
          <w:sz w:val="24"/>
          <w:szCs w:val="24"/>
          <w:highlight w:val="none"/>
        </w:rPr>
        <w:t>（</w:t>
      </w:r>
      <w:r>
        <w:rPr>
          <w:rFonts w:hint="eastAsia" w:ascii="Times New Roman" w:hAnsi="Times New Roman" w:eastAsia="Times New Roman"/>
          <w:color w:val="auto"/>
          <w:sz w:val="24"/>
          <w:szCs w:val="24"/>
          <w:highlight w:val="none"/>
        </w:rPr>
        <w:t>¥</w:t>
      </w:r>
      <w:r>
        <w:rPr>
          <w:rFonts w:hint="eastAsia" w:ascii="Times New Roman" w:hAnsi="Times New Roman"/>
          <w:color w:val="auto"/>
          <w:sz w:val="24"/>
          <w:szCs w:val="24"/>
          <w:highlight w:val="none"/>
          <w:u w:val="single"/>
        </w:rPr>
        <w:t xml:space="preserve">     </w:t>
      </w:r>
      <w:r>
        <w:rPr>
          <w:rFonts w:hint="eastAsia" w:ascii="Times New Roman" w:hAnsi="Times New Roman" w:eastAsia="Times New Roman"/>
          <w:color w:val="auto"/>
          <w:sz w:val="24"/>
          <w:szCs w:val="24"/>
          <w:highlight w:val="none"/>
          <w:u w:val="single"/>
        </w:rPr>
        <w:t xml:space="preserve"> </w:t>
      </w:r>
      <w:r>
        <w:rPr>
          <w:rFonts w:hint="eastAsia" w:ascii="Times New Roman" w:hAnsi="Times New Roman"/>
          <w:color w:val="auto"/>
          <w:sz w:val="24"/>
          <w:szCs w:val="24"/>
          <w:highlight w:val="none"/>
        </w:rPr>
        <w:t>）的响应总报价提供采购文件标明的货物要求、技术服务和质保期服务措施，并按合同约定履行义务。</w:t>
      </w:r>
    </w:p>
    <w:p w14:paraId="7A3FC489">
      <w:pPr>
        <w:spacing w:line="400" w:lineRule="exact"/>
        <w:ind w:firstLine="480" w:firstLineChars="200"/>
        <w:rPr>
          <w:rFonts w:hint="eastAsia" w:ascii="Times New Roman" w:hAnsi="Times New Roman"/>
          <w:color w:val="auto"/>
          <w:sz w:val="24"/>
          <w:szCs w:val="24"/>
          <w:highlight w:val="none"/>
        </w:rPr>
      </w:pPr>
      <w:r>
        <w:rPr>
          <w:rFonts w:hint="eastAsia" w:ascii="Times New Roman" w:hAnsi="Times New Roman" w:eastAsia="Times New Roman"/>
          <w:color w:val="auto"/>
          <w:sz w:val="24"/>
          <w:szCs w:val="24"/>
          <w:highlight w:val="none"/>
        </w:rPr>
        <w:t>2</w:t>
      </w:r>
      <w:r>
        <w:rPr>
          <w:rFonts w:hint="eastAsia" w:ascii="Times New Roman" w:hAnsi="Times New Roman"/>
          <w:color w:val="auto"/>
          <w:sz w:val="24"/>
          <w:szCs w:val="24"/>
          <w:highlight w:val="none"/>
        </w:rPr>
        <w:t>．我方承诺在响应有效期内不修改、撤销响应文件。</w:t>
      </w:r>
    </w:p>
    <w:p w14:paraId="3D0F90D3">
      <w:pPr>
        <w:spacing w:line="400" w:lineRule="exact"/>
        <w:ind w:firstLine="480" w:firstLineChars="200"/>
        <w:rPr>
          <w:rFonts w:hint="default" w:ascii="Times New Roman" w:hAnsi="Times New Roman" w:eastAsiaTheme="minorEastAsia"/>
          <w:color w:val="auto"/>
          <w:sz w:val="24"/>
          <w:szCs w:val="24"/>
          <w:highlight w:val="none"/>
          <w:lang w:val="en-US" w:eastAsia="zh-CN"/>
        </w:rPr>
      </w:pPr>
      <w:r>
        <w:rPr>
          <w:rFonts w:hint="eastAsia" w:ascii="Times New Roman" w:hAnsi="Times New Roman"/>
          <w:color w:val="auto"/>
          <w:sz w:val="24"/>
          <w:szCs w:val="24"/>
          <w:highlight w:val="none"/>
          <w:lang w:val="en-US" w:eastAsia="zh-CN"/>
        </w:rPr>
        <w:t>3.</w:t>
      </w:r>
      <w:r>
        <w:rPr>
          <w:rFonts w:hint="eastAsia" w:ascii="Times New Roman" w:hAnsi="Times New Roman" w:cs="Times New Roman"/>
          <w:color w:val="auto"/>
          <w:sz w:val="24"/>
          <w:highlight w:val="none"/>
          <w:lang w:val="en-US" w:eastAsia="zh-CN"/>
        </w:rPr>
        <w:t>材料质量：</w:t>
      </w:r>
      <w:r>
        <w:rPr>
          <w:rFonts w:hint="eastAsia" w:ascii="Times New Roman" w:hAnsi="Times New Roman" w:cs="Times New Roman"/>
          <w:color w:val="auto"/>
          <w:sz w:val="24"/>
          <w:highlight w:val="none"/>
          <w:u w:val="single"/>
          <w:lang w:val="en-US" w:eastAsia="zh-CN"/>
        </w:rPr>
        <w:t>响应采购文件要求</w:t>
      </w:r>
      <w:r>
        <w:rPr>
          <w:rFonts w:hint="eastAsia" w:ascii="Times New Roman" w:hAnsi="Times New Roman" w:cs="Times New Roman"/>
          <w:color w:val="auto"/>
          <w:sz w:val="24"/>
          <w:highlight w:val="none"/>
          <w:u w:val="none"/>
          <w:lang w:val="en-US" w:eastAsia="zh-CN"/>
        </w:rPr>
        <w:t>；交货期：</w:t>
      </w:r>
      <w:r>
        <w:rPr>
          <w:rFonts w:hint="eastAsia" w:ascii="Times New Roman" w:hAnsi="Times New Roman" w:cs="Times New Roman"/>
          <w:color w:val="auto"/>
          <w:sz w:val="24"/>
          <w:highlight w:val="none"/>
          <w:u w:val="single"/>
          <w:lang w:val="en-US" w:eastAsia="zh-CN"/>
        </w:rPr>
        <w:t>响应采购文件要求。</w:t>
      </w:r>
    </w:p>
    <w:p w14:paraId="72EE3AA3">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宋体"/>
          <w:color w:val="auto"/>
          <w:sz w:val="24"/>
          <w:szCs w:val="24"/>
          <w:highlight w:val="none"/>
          <w:lang w:val="en-US" w:eastAsia="zh-CN"/>
        </w:rPr>
        <w:t>4</w:t>
      </w:r>
      <w:r>
        <w:rPr>
          <w:rFonts w:hint="eastAsia" w:ascii="Times New Roman" w:hAnsi="Times New Roman"/>
          <w:color w:val="auto"/>
          <w:sz w:val="24"/>
          <w:szCs w:val="24"/>
          <w:highlight w:val="none"/>
        </w:rPr>
        <w:t>．如我方成交：</w:t>
      </w:r>
    </w:p>
    <w:p w14:paraId="447038FD">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Times New Roman"/>
          <w:color w:val="auto"/>
          <w:sz w:val="24"/>
          <w:szCs w:val="24"/>
          <w:highlight w:val="none"/>
        </w:rPr>
        <w:t>(1)</w:t>
      </w:r>
      <w:r>
        <w:rPr>
          <w:rFonts w:hint="eastAsia" w:ascii="Times New Roman" w:hAnsi="Times New Roman"/>
          <w:color w:val="auto"/>
          <w:sz w:val="24"/>
          <w:szCs w:val="24"/>
          <w:highlight w:val="none"/>
        </w:rPr>
        <w:t>我方承诺在收到成交通知书后，在成交通知书规定的期限内与你方签订合同。</w:t>
      </w:r>
    </w:p>
    <w:p w14:paraId="4D5D5E23">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Times New Roman"/>
          <w:color w:val="auto"/>
          <w:sz w:val="24"/>
          <w:szCs w:val="24"/>
          <w:highlight w:val="none"/>
        </w:rPr>
        <w:t>(2)</w:t>
      </w:r>
      <w:r>
        <w:rPr>
          <w:rFonts w:hint="eastAsia" w:ascii="Times New Roman" w:hAnsi="Times New Roman"/>
          <w:color w:val="auto"/>
          <w:sz w:val="24"/>
          <w:szCs w:val="24"/>
          <w:highlight w:val="none"/>
        </w:rPr>
        <w:t>我方承诺按照采购文件规定向你方递交履约担保。</w:t>
      </w:r>
    </w:p>
    <w:p w14:paraId="65094E15">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Times New Roman"/>
          <w:color w:val="auto"/>
          <w:sz w:val="24"/>
          <w:szCs w:val="24"/>
          <w:highlight w:val="none"/>
        </w:rPr>
        <w:t>(3)</w:t>
      </w:r>
      <w:r>
        <w:rPr>
          <w:rFonts w:hint="eastAsia" w:ascii="Times New Roman" w:hAnsi="Times New Roman"/>
          <w:color w:val="auto"/>
          <w:sz w:val="24"/>
          <w:szCs w:val="24"/>
          <w:highlight w:val="none"/>
        </w:rPr>
        <w:t>我方承诺在合同约定的期限内完成全部合同任务。</w:t>
      </w:r>
    </w:p>
    <w:p w14:paraId="5F70497F">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宋体"/>
          <w:color w:val="auto"/>
          <w:sz w:val="24"/>
          <w:szCs w:val="24"/>
          <w:highlight w:val="none"/>
          <w:lang w:val="en-US" w:eastAsia="zh-CN"/>
        </w:rPr>
        <w:t>5</w:t>
      </w:r>
      <w:r>
        <w:rPr>
          <w:rFonts w:hint="eastAsia" w:ascii="Times New Roman" w:hAnsi="Times New Roman"/>
          <w:color w:val="auto"/>
          <w:sz w:val="24"/>
          <w:szCs w:val="24"/>
          <w:highlight w:val="none"/>
        </w:rPr>
        <w:t>．我方在此声明，所递交的响应文件及有关资料内容完整、真实和准确。</w:t>
      </w:r>
    </w:p>
    <w:p w14:paraId="3AFD038E">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宋体"/>
          <w:color w:val="auto"/>
          <w:sz w:val="24"/>
          <w:szCs w:val="24"/>
          <w:highlight w:val="none"/>
          <w:lang w:val="en-US" w:eastAsia="zh-CN"/>
        </w:rPr>
        <w:t>6</w:t>
      </w:r>
      <w:r>
        <w:rPr>
          <w:rFonts w:hint="eastAsia" w:ascii="Times New Roman" w:hAnsi="Times New Roman"/>
          <w:color w:val="auto"/>
          <w:sz w:val="24"/>
          <w:szCs w:val="24"/>
          <w:highlight w:val="none"/>
        </w:rPr>
        <w:t>．在合同协议书正式签署生效之前，本响应函连同你方的成交通知书将构成我们双方之间共同遵守的文件，对双方具有约束力。</w:t>
      </w:r>
    </w:p>
    <w:p w14:paraId="3E02E650">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宋体"/>
          <w:color w:val="auto"/>
          <w:sz w:val="24"/>
          <w:szCs w:val="24"/>
          <w:highlight w:val="none"/>
          <w:lang w:val="en-US" w:eastAsia="zh-CN"/>
        </w:rPr>
        <w:t>7</w:t>
      </w:r>
      <w:r>
        <w:rPr>
          <w:rFonts w:hint="eastAsia" w:ascii="Times New Roman" w:hAnsi="Times New Roman"/>
          <w:color w:val="auto"/>
          <w:sz w:val="24"/>
          <w:szCs w:val="24"/>
          <w:highlight w:val="none"/>
        </w:rPr>
        <w:t>．我方已按采购文件要求详细审核并确认全部采购文件及有关附件，充分理解采购价格不得低于企业个别成本有关规定。我方经成本核算，所填报的响应报价不低于企业个别成本。</w:t>
      </w:r>
    </w:p>
    <w:p w14:paraId="5DF97954">
      <w:pPr>
        <w:spacing w:line="400" w:lineRule="exact"/>
        <w:ind w:firstLine="480" w:firstLineChars="200"/>
        <w:rPr>
          <w:rFonts w:hint="eastAsia" w:ascii="Times New Roman" w:hAnsi="Times New Roman"/>
          <w:color w:val="auto"/>
          <w:sz w:val="24"/>
          <w:szCs w:val="24"/>
          <w:highlight w:val="none"/>
        </w:rPr>
      </w:pPr>
      <w:r>
        <w:rPr>
          <w:rFonts w:hint="eastAsia" w:ascii="Times New Roman" w:hAnsi="Times New Roman"/>
          <w:color w:val="auto"/>
          <w:sz w:val="24"/>
          <w:szCs w:val="24"/>
          <w:highlight w:val="none"/>
          <w:lang w:val="en-US" w:eastAsia="zh-CN"/>
        </w:rPr>
        <w:t>8</w:t>
      </w:r>
      <w:r>
        <w:rPr>
          <w:rFonts w:hint="eastAsia" w:ascii="Times New Roman" w:hAnsi="Times New Roman"/>
          <w:color w:val="auto"/>
          <w:sz w:val="24"/>
          <w:szCs w:val="24"/>
          <w:highlight w:val="none"/>
        </w:rPr>
        <w:t>.____/____（其他补充说明）。</w:t>
      </w:r>
    </w:p>
    <w:p w14:paraId="3F6D9386">
      <w:pPr>
        <w:pStyle w:val="2"/>
        <w:rPr>
          <w:rFonts w:hint="eastAsia" w:ascii="Times New Roman" w:hAnsi="Times New Roman"/>
          <w:color w:val="auto"/>
          <w:sz w:val="24"/>
          <w:szCs w:val="24"/>
          <w:highlight w:val="yellow"/>
        </w:rPr>
      </w:pPr>
    </w:p>
    <w:p w14:paraId="43FE553B">
      <w:pPr>
        <w:pStyle w:val="2"/>
        <w:tabs>
          <w:tab w:val="left" w:pos="6379"/>
        </w:tabs>
        <w:spacing w:beforeLines="0" w:afterLines="0" w:line="480" w:lineRule="exact"/>
        <w:jc w:val="both"/>
        <w:rPr>
          <w:rFonts w:hint="eastAsia" w:ascii="宋体" w:hAnsi="宋体" w:cs="宋体"/>
          <w:color w:val="auto"/>
          <w:sz w:val="24"/>
          <w:szCs w:val="24"/>
        </w:rPr>
      </w:pPr>
    </w:p>
    <w:p w14:paraId="76B08196">
      <w:pPr>
        <w:pStyle w:val="2"/>
        <w:tabs>
          <w:tab w:val="left" w:pos="6379"/>
        </w:tabs>
        <w:spacing w:beforeLines="0" w:afterLines="0" w:line="480" w:lineRule="exact"/>
        <w:ind w:firstLine="4080" w:firstLineChars="1700"/>
        <w:jc w:val="both"/>
        <w:rPr>
          <w:rFonts w:hint="eastAsia" w:ascii="宋体" w:hAnsi="宋体" w:cs="宋体"/>
          <w:color w:val="auto"/>
          <w:sz w:val="24"/>
          <w:szCs w:val="24"/>
        </w:rPr>
      </w:pPr>
      <w:r>
        <w:rPr>
          <w:rFonts w:hint="eastAsia" w:ascii="宋体" w:hAnsi="宋体" w:cs="宋体"/>
          <w:color w:val="auto"/>
          <w:sz w:val="24"/>
          <w:szCs w:val="24"/>
        </w:rPr>
        <w:t>供  应  商 ：</w:t>
      </w:r>
      <w:bookmarkStart w:id="141" w:name="_Hlk122530524"/>
      <w:r>
        <w:rPr>
          <w:rFonts w:hint="eastAsia" w:ascii="宋体" w:hAnsi="宋体" w:cs="宋体"/>
          <w:color w:val="auto"/>
          <w:sz w:val="24"/>
          <w:szCs w:val="24"/>
          <w:u w:val="single"/>
        </w:rPr>
        <w:t xml:space="preserve">           </w:t>
      </w:r>
      <w:bookmarkEnd w:id="141"/>
      <w:r>
        <w:rPr>
          <w:rFonts w:hint="eastAsia" w:ascii="宋体" w:hAnsi="宋体" w:cs="宋体"/>
          <w:color w:val="auto"/>
          <w:sz w:val="24"/>
          <w:szCs w:val="24"/>
        </w:rPr>
        <w:t>（盖单位</w:t>
      </w:r>
      <w:r>
        <w:rPr>
          <w:rFonts w:hint="eastAsia" w:ascii="宋体" w:hAnsi="宋体" w:cs="宋体"/>
          <w:color w:val="auto"/>
          <w:sz w:val="24"/>
          <w:szCs w:val="24"/>
          <w:lang w:val="en-US" w:eastAsia="zh-CN"/>
        </w:rPr>
        <w:t>公</w:t>
      </w:r>
      <w:r>
        <w:rPr>
          <w:rFonts w:hint="eastAsia" w:ascii="宋体" w:hAnsi="宋体" w:cs="宋体"/>
          <w:color w:val="auto"/>
          <w:sz w:val="24"/>
          <w:szCs w:val="24"/>
        </w:rPr>
        <w:t>章）</w:t>
      </w:r>
    </w:p>
    <w:p w14:paraId="7CB2BE99">
      <w:pPr>
        <w:pStyle w:val="2"/>
        <w:tabs>
          <w:tab w:val="left" w:pos="6379"/>
        </w:tabs>
        <w:spacing w:beforeLines="0" w:afterLines="0" w:line="480" w:lineRule="exact"/>
        <w:ind w:firstLine="4080" w:firstLineChars="1700"/>
        <w:jc w:val="both"/>
        <w:rPr>
          <w:rFonts w:hint="eastAsia" w:ascii="宋体" w:hAnsi="宋体" w:cs="宋体"/>
          <w:color w:val="auto"/>
          <w:sz w:val="24"/>
          <w:szCs w:val="24"/>
        </w:rPr>
      </w:pPr>
      <w:r>
        <w:rPr>
          <w:rFonts w:hint="eastAsia" w:ascii="宋体" w:hAnsi="宋体" w:cs="宋体"/>
          <w:color w:val="auto"/>
          <w:sz w:val="24"/>
          <w:szCs w:val="24"/>
        </w:rPr>
        <w:t>法定代表人 ：</w:t>
      </w:r>
      <w:r>
        <w:rPr>
          <w:rFonts w:hint="eastAsia" w:ascii="宋体" w:hAnsi="宋体" w:cs="宋体"/>
          <w:color w:val="auto"/>
          <w:sz w:val="24"/>
          <w:szCs w:val="24"/>
          <w:u w:val="single"/>
        </w:rPr>
        <w:t xml:space="preserve">    </w:t>
      </w:r>
      <w:r>
        <w:rPr>
          <w:rFonts w:hint="eastAsia" w:ascii="宋体" w:hAnsi="宋体" w:cs="宋体"/>
          <w:color w:val="auto"/>
          <w:sz w:val="24"/>
          <w:szCs w:val="24"/>
          <w:u w:val="single"/>
          <w:lang w:val="en-US" w:eastAsia="zh-CN"/>
        </w:rPr>
        <w:t xml:space="preserve"> </w:t>
      </w:r>
      <w:r>
        <w:rPr>
          <w:rFonts w:hint="eastAsia" w:ascii="宋体" w:hAnsi="宋体" w:cs="宋体"/>
          <w:color w:val="auto"/>
          <w:sz w:val="24"/>
          <w:szCs w:val="24"/>
          <w:u w:val="single"/>
        </w:rPr>
        <w:t xml:space="preserve">  </w:t>
      </w:r>
      <w:r>
        <w:rPr>
          <w:rFonts w:hint="eastAsia" w:ascii="宋体" w:hAnsi="宋体" w:cs="宋体"/>
          <w:color w:val="auto"/>
          <w:sz w:val="24"/>
          <w:szCs w:val="24"/>
        </w:rPr>
        <w:t>（签字或盖法人章）</w:t>
      </w:r>
    </w:p>
    <w:p w14:paraId="49877707">
      <w:pPr>
        <w:pStyle w:val="2"/>
        <w:tabs>
          <w:tab w:val="left" w:pos="6379"/>
        </w:tabs>
        <w:spacing w:beforeLines="0" w:afterLines="0" w:line="480" w:lineRule="exact"/>
        <w:ind w:firstLine="4080" w:firstLineChars="1700"/>
        <w:jc w:val="both"/>
        <w:rPr>
          <w:rFonts w:hint="eastAsia" w:ascii="宋体" w:hAnsi="宋体" w:cs="宋体"/>
          <w:color w:val="auto"/>
          <w:sz w:val="24"/>
          <w:szCs w:val="24"/>
        </w:rPr>
      </w:pPr>
      <w:r>
        <w:rPr>
          <w:rFonts w:hint="eastAsia" w:ascii="宋体" w:hAnsi="宋体" w:cs="宋体"/>
          <w:color w:val="auto"/>
          <w:sz w:val="24"/>
          <w:szCs w:val="24"/>
        </w:rPr>
        <w:t xml:space="preserve">日 </w:t>
      </w:r>
      <w:r>
        <w:rPr>
          <w:rFonts w:hint="eastAsia" w:ascii="宋体" w:hAnsi="宋体" w:cs="宋体"/>
          <w:color w:val="auto"/>
          <w:sz w:val="24"/>
          <w:szCs w:val="24"/>
          <w:lang w:val="en-US" w:eastAsia="zh-CN"/>
        </w:rPr>
        <w:t xml:space="preserve">     </w:t>
      </w:r>
      <w:r>
        <w:rPr>
          <w:rFonts w:hint="eastAsia" w:ascii="宋体" w:hAnsi="宋体" w:cs="宋体"/>
          <w:color w:val="auto"/>
          <w:sz w:val="24"/>
          <w:szCs w:val="24"/>
        </w:rPr>
        <w:t>期 ：</w:t>
      </w:r>
      <w:r>
        <w:rPr>
          <w:rFonts w:hint="eastAsia" w:ascii="宋体" w:hAnsi="宋体" w:cs="宋体"/>
          <w:color w:val="auto"/>
          <w:sz w:val="24"/>
          <w:szCs w:val="24"/>
          <w:u w:val="single"/>
        </w:rPr>
        <w:t xml:space="preserve">      </w:t>
      </w:r>
      <w:r>
        <w:rPr>
          <w:rFonts w:hint="eastAsia" w:ascii="宋体" w:hAnsi="宋体" w:cs="宋体"/>
          <w:color w:val="auto"/>
          <w:sz w:val="24"/>
          <w:szCs w:val="24"/>
        </w:rPr>
        <w:t>年</w:t>
      </w:r>
      <w:r>
        <w:rPr>
          <w:rFonts w:hint="eastAsia" w:ascii="宋体" w:hAnsi="宋体" w:cs="宋体"/>
          <w:color w:val="auto"/>
          <w:sz w:val="24"/>
          <w:szCs w:val="24"/>
          <w:u w:val="single"/>
        </w:rPr>
        <w:t xml:space="preserve">    </w:t>
      </w:r>
      <w:r>
        <w:rPr>
          <w:rFonts w:hint="eastAsia" w:ascii="宋体" w:hAnsi="宋体" w:cs="宋体"/>
          <w:color w:val="auto"/>
          <w:sz w:val="24"/>
          <w:szCs w:val="24"/>
        </w:rPr>
        <w:t>月</w:t>
      </w:r>
      <w:r>
        <w:rPr>
          <w:rFonts w:hint="eastAsia" w:ascii="宋体" w:hAnsi="宋体" w:cs="宋体"/>
          <w:color w:val="auto"/>
          <w:sz w:val="24"/>
          <w:szCs w:val="24"/>
          <w:u w:val="single"/>
        </w:rPr>
        <w:t xml:space="preserve">   </w:t>
      </w:r>
      <w:r>
        <w:rPr>
          <w:rFonts w:hint="eastAsia" w:ascii="宋体" w:hAnsi="宋体" w:cs="宋体"/>
          <w:color w:val="auto"/>
          <w:sz w:val="24"/>
          <w:szCs w:val="24"/>
        </w:rPr>
        <w:t>日</w:t>
      </w:r>
    </w:p>
    <w:p w14:paraId="265D28AE">
      <w:pPr>
        <w:spacing w:line="400" w:lineRule="exact"/>
        <w:ind w:firstLine="4740" w:firstLineChars="1975"/>
        <w:jc w:val="right"/>
        <w:rPr>
          <w:rFonts w:hint="eastAsia" w:ascii="Times New Roman" w:hAnsi="Times New Roman" w:eastAsia="Times New Roman"/>
          <w:color w:val="auto"/>
          <w:sz w:val="24"/>
          <w:szCs w:val="24"/>
          <w:highlight w:val="yellow"/>
        </w:rPr>
      </w:pPr>
    </w:p>
    <w:p w14:paraId="06BD8875">
      <w:pPr>
        <w:spacing w:line="440" w:lineRule="exact"/>
        <w:ind w:firstLine="440"/>
        <w:jc w:val="right"/>
        <w:rPr>
          <w:rFonts w:ascii="Times New Roman" w:hAnsi="Times New Roman" w:eastAsia="黑体" w:cs="Times New Roman"/>
          <w:color w:val="auto"/>
          <w:sz w:val="20"/>
          <w:szCs w:val="20"/>
        </w:rPr>
      </w:pPr>
    </w:p>
    <w:p w14:paraId="09A9B8C6">
      <w:pPr>
        <w:spacing w:line="440" w:lineRule="exact"/>
        <w:jc w:val="center"/>
        <w:outlineLvl w:val="1"/>
        <w:rPr>
          <w:rFonts w:ascii="Times New Roman" w:hAnsi="Times New Roman" w:eastAsia="黑体" w:cs="Times New Roman"/>
          <w:color w:val="auto"/>
          <w:sz w:val="28"/>
          <w:szCs w:val="28"/>
        </w:rPr>
      </w:pPr>
      <w:bookmarkStart w:id="142" w:name="_Toc29236_WPSOffice_Level1"/>
      <w:bookmarkStart w:id="143" w:name="_Toc21389_WPSOffice_Level1"/>
    </w:p>
    <w:p w14:paraId="065C69A7">
      <w:pPr>
        <w:spacing w:line="440" w:lineRule="exact"/>
        <w:jc w:val="center"/>
        <w:outlineLvl w:val="1"/>
        <w:rPr>
          <w:rFonts w:ascii="Times New Roman" w:hAnsi="Times New Roman" w:eastAsia="黑体" w:cs="Times New Roman"/>
          <w:color w:val="auto"/>
          <w:sz w:val="28"/>
          <w:szCs w:val="28"/>
        </w:rPr>
      </w:pPr>
    </w:p>
    <w:p w14:paraId="0173081A">
      <w:pPr>
        <w:spacing w:line="440" w:lineRule="exact"/>
        <w:jc w:val="both"/>
        <w:outlineLvl w:val="1"/>
        <w:rPr>
          <w:rFonts w:ascii="Times New Roman" w:hAnsi="Times New Roman" w:eastAsia="黑体" w:cs="Times New Roman"/>
          <w:color w:val="auto"/>
          <w:sz w:val="28"/>
          <w:szCs w:val="28"/>
        </w:rPr>
      </w:pPr>
    </w:p>
    <w:p w14:paraId="3028955F">
      <w:pPr>
        <w:numPr>
          <w:ilvl w:val="0"/>
          <w:numId w:val="4"/>
        </w:numPr>
        <w:spacing w:line="440" w:lineRule="exact"/>
        <w:jc w:val="center"/>
        <w:outlineLvl w:val="1"/>
        <w:rPr>
          <w:rFonts w:ascii="Times New Roman" w:hAnsi="Times New Roman" w:eastAsia="黑体" w:cs="Times New Roman"/>
          <w:color w:val="auto"/>
          <w:sz w:val="28"/>
          <w:szCs w:val="28"/>
        </w:rPr>
      </w:pPr>
      <w:r>
        <w:rPr>
          <w:rFonts w:ascii="Times New Roman" w:hAnsi="Times New Roman" w:eastAsia="黑体" w:cs="Times New Roman"/>
          <w:color w:val="auto"/>
          <w:sz w:val="28"/>
          <w:szCs w:val="28"/>
        </w:rPr>
        <w:t>法定代表人身份证明及授权委托书</w:t>
      </w:r>
    </w:p>
    <w:p w14:paraId="01160C9A">
      <w:pPr>
        <w:numPr>
          <w:ilvl w:val="0"/>
          <w:numId w:val="0"/>
        </w:numPr>
        <w:spacing w:line="440" w:lineRule="exact"/>
        <w:jc w:val="both"/>
        <w:outlineLvl w:val="1"/>
        <w:rPr>
          <w:rFonts w:ascii="Times New Roman" w:hAnsi="Times New Roman" w:eastAsia="黑体" w:cs="Times New Roman"/>
          <w:color w:val="auto"/>
          <w:sz w:val="28"/>
          <w:szCs w:val="28"/>
        </w:rPr>
      </w:pPr>
    </w:p>
    <w:p w14:paraId="71C86763">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宋体" w:cs="Times New Roman"/>
          <w:color w:val="auto"/>
          <w:kern w:val="2"/>
          <w:sz w:val="28"/>
          <w:szCs w:val="28"/>
          <w:highlight w:val="none"/>
        </w:rPr>
      </w:pPr>
      <w:r>
        <w:rPr>
          <w:rFonts w:hint="default" w:ascii="Times New Roman" w:hAnsi="Times New Roman" w:eastAsia="黑体" w:cs="Times New Roman"/>
          <w:bCs/>
          <w:color w:val="auto"/>
          <w:kern w:val="2"/>
          <w:sz w:val="28"/>
          <w:szCs w:val="28"/>
          <w:highlight w:val="none"/>
          <w:lang w:val="en-US" w:eastAsia="zh-CN" w:bidi="ar"/>
        </w:rPr>
        <w:t xml:space="preserve">2-1 </w:t>
      </w:r>
      <w:r>
        <w:rPr>
          <w:rFonts w:hint="eastAsia" w:ascii="黑体" w:hAnsi="宋体" w:eastAsia="黑体" w:cs="黑体"/>
          <w:bCs/>
          <w:color w:val="auto"/>
          <w:kern w:val="2"/>
          <w:sz w:val="28"/>
          <w:szCs w:val="28"/>
          <w:highlight w:val="none"/>
          <w:lang w:val="en-US" w:eastAsia="zh-CN" w:bidi="ar"/>
        </w:rPr>
        <w:t>法定代表人身份证明</w:t>
      </w:r>
    </w:p>
    <w:p w14:paraId="0DB37D1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33E370F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1D349EB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单位性质：</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50E4E61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地址：</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7C4749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成立时间：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1917F11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经营期限：</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1BDB4EE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bCs/>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性别：</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年龄：</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职务：</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E266C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w:t>
      </w:r>
    </w:p>
    <w:p w14:paraId="1F466EEB">
      <w:pPr>
        <w:keepNext w:val="0"/>
        <w:keepLines w:val="0"/>
        <w:widowControl w:val="0"/>
        <w:suppressLineNumbers w:val="0"/>
        <w:spacing w:before="0" w:beforeAutospacing="0" w:after="0" w:afterAutospacing="0" w:line="440" w:lineRule="exact"/>
        <w:ind w:left="0" w:right="0" w:firstLine="482"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附：法定代表人身份证正反面复印件</w:t>
      </w:r>
    </w:p>
    <w:p w14:paraId="3B9ED290">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6A6814D">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特此证明。</w:t>
      </w:r>
    </w:p>
    <w:p w14:paraId="05CFB74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C76B58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2E0B9F1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2DB330B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r>
        <w:rPr>
          <w:rFonts w:hint="default" w:ascii="Times New Roman" w:hAnsi="Times New Roman" w:eastAsia="宋体" w:cs="Times New Roman"/>
          <w:color w:val="auto"/>
          <w:kern w:val="2"/>
          <w:sz w:val="24"/>
          <w:szCs w:val="24"/>
          <w:highlight w:val="none"/>
          <w:lang w:val="en-US" w:eastAsia="zh-CN" w:bidi="ar"/>
        </w:rPr>
        <w:t xml:space="preserve">           </w:t>
      </w:r>
    </w:p>
    <w:p w14:paraId="1C545E5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2236925E">
      <w:pPr>
        <w:spacing w:line="440" w:lineRule="exact"/>
        <w:jc w:val="center"/>
        <w:rPr>
          <w:rFonts w:ascii="Times New Roman" w:hAnsi="Times New Roman" w:cs="Times New Roman"/>
          <w:color w:val="auto"/>
          <w:sz w:val="24"/>
        </w:rPr>
      </w:pPr>
      <w:r>
        <w:rPr>
          <w:rFonts w:ascii="Times New Roman" w:hAnsi="Times New Roman" w:cs="Times New Roman"/>
          <w:color w:val="auto"/>
          <w:sz w:val="24"/>
        </w:rPr>
        <w:t xml:space="preserve">  </w:t>
      </w:r>
    </w:p>
    <w:p w14:paraId="2299D1C1">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02109609">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51587E3B">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4AEF88A8">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625A8319">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45644FC4">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3454EB72">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38D934B4">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7FC7B162">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2AECEE32">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5E7AB5BA">
      <w:pPr>
        <w:pStyle w:val="19"/>
        <w:tabs>
          <w:tab w:val="left" w:pos="1078"/>
          <w:tab w:val="left" w:pos="1176"/>
          <w:tab w:val="left" w:pos="1638"/>
          <w:tab w:val="left" w:pos="3920"/>
          <w:tab w:val="left" w:pos="5670"/>
        </w:tabs>
        <w:ind w:left="0" w:leftChars="0" w:firstLine="0" w:firstLineChars="0"/>
        <w:rPr>
          <w:rFonts w:ascii="Times New Roman" w:hAnsi="Times New Roman" w:cs="Times New Roman"/>
          <w:color w:val="auto"/>
          <w:sz w:val="24"/>
        </w:rPr>
      </w:pPr>
    </w:p>
    <w:p w14:paraId="208850F6">
      <w:pPr>
        <w:spacing w:line="440" w:lineRule="exact"/>
        <w:jc w:val="center"/>
        <w:rPr>
          <w:rFonts w:ascii="Times New Roman" w:hAnsi="Times New Roman" w:eastAsia="黑体" w:cs="Times New Roman"/>
          <w:color w:val="auto"/>
          <w:sz w:val="28"/>
          <w:szCs w:val="28"/>
        </w:rPr>
      </w:pPr>
      <w:r>
        <w:rPr>
          <w:rFonts w:hint="eastAsia" w:ascii="Times New Roman" w:hAnsi="Times New Roman" w:eastAsia="黑体" w:cs="Times New Roman"/>
          <w:color w:val="auto"/>
          <w:sz w:val="28"/>
          <w:szCs w:val="28"/>
        </w:rPr>
        <w:t>2-2</w:t>
      </w:r>
      <w:r>
        <w:rPr>
          <w:rFonts w:ascii="Times New Roman" w:hAnsi="Times New Roman" w:eastAsia="黑体" w:cs="Times New Roman"/>
          <w:color w:val="auto"/>
          <w:sz w:val="28"/>
          <w:szCs w:val="28"/>
        </w:rPr>
        <w:t>授权委托书</w:t>
      </w:r>
      <w:bookmarkEnd w:id="142"/>
      <w:bookmarkEnd w:id="143"/>
    </w:p>
    <w:p w14:paraId="5C039589">
      <w:pPr>
        <w:keepNext w:val="0"/>
        <w:keepLines w:val="0"/>
        <w:widowControl w:val="0"/>
        <w:suppressLineNumbers w:val="0"/>
        <w:topLinePunct/>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本人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的法定代表人，现委托</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 xml:space="preserve">为我方代理人。代理人根据授权，以我方名义签署、澄清、说明、补正、递交、撤回、修改 </w:t>
      </w:r>
      <w:r>
        <w:rPr>
          <w:rFonts w:hint="eastAsia" w:ascii="Times New Roman" w:hAnsi="Times New Roman"/>
          <w:color w:val="auto"/>
          <w:sz w:val="24"/>
          <w:szCs w:val="24"/>
          <w:highlight w:val="none"/>
          <w:u w:val="single"/>
        </w:rPr>
        <w:t>东至至鄱阳高速公路安徽段东至管理分中心项目、G0321德州至上饶高速公路祁门至皖赣界段房建工程项目电器采购及安装项目</w:t>
      </w:r>
      <w:r>
        <w:rPr>
          <w:rFonts w:hint="eastAsia" w:ascii="Times New Roman" w:hAnsi="Times New Roman"/>
          <w:color w:val="auto"/>
          <w:sz w:val="24"/>
          <w:szCs w:val="24"/>
          <w:highlight w:val="none"/>
          <w:u w:val="single"/>
          <w:lang w:val="en-US" w:eastAsia="zh-CN"/>
        </w:rPr>
        <w:t xml:space="preserve"> </w:t>
      </w:r>
      <w:r>
        <w:rPr>
          <w:rFonts w:hint="eastAsia" w:ascii="Times New Roman" w:hAnsi="Times New Roman" w:eastAsia="Times New Roman"/>
          <w:color w:val="auto"/>
          <w:sz w:val="24"/>
          <w:szCs w:val="24"/>
          <w:highlight w:val="none"/>
        </w:rPr>
        <w:t>(</w:t>
      </w:r>
      <w:r>
        <w:rPr>
          <w:rFonts w:hint="eastAsia" w:ascii="Times New Roman" w:hAnsi="Times New Roman"/>
          <w:color w:val="auto"/>
          <w:sz w:val="24"/>
          <w:szCs w:val="24"/>
          <w:highlight w:val="none"/>
        </w:rPr>
        <w:t>项目名称)</w:t>
      </w:r>
      <w:r>
        <w:rPr>
          <w:rFonts w:hint="eastAsia" w:ascii="Times New Roman" w:hAnsi="Times New Roman"/>
          <w:color w:val="auto"/>
          <w:sz w:val="24"/>
          <w:szCs w:val="24"/>
          <w:highlight w:val="none"/>
          <w:u w:val="single"/>
          <w:lang w:val="en-US" w:eastAsia="zh-CN"/>
        </w:rPr>
        <w:t xml:space="preserve">    </w:t>
      </w:r>
      <w:r>
        <w:rPr>
          <w:rFonts w:hint="eastAsia" w:ascii="Times New Roman" w:hAnsi="Times New Roman"/>
          <w:color w:val="auto"/>
          <w:sz w:val="24"/>
          <w:szCs w:val="24"/>
          <w:highlight w:val="none"/>
          <w:lang w:eastAsia="zh-CN"/>
        </w:rPr>
        <w:t>（</w:t>
      </w:r>
      <w:r>
        <w:rPr>
          <w:rFonts w:hint="eastAsia" w:ascii="Times New Roman" w:hAnsi="Times New Roman"/>
          <w:color w:val="auto"/>
          <w:sz w:val="24"/>
          <w:szCs w:val="24"/>
          <w:highlight w:val="none"/>
          <w:lang w:val="en-US" w:eastAsia="zh-CN"/>
        </w:rPr>
        <w:t>包段</w:t>
      </w:r>
      <w:r>
        <w:rPr>
          <w:rFonts w:hint="eastAsia" w:ascii="Times New Roman" w:hAnsi="Times New Roman"/>
          <w:color w:val="auto"/>
          <w:sz w:val="24"/>
          <w:szCs w:val="24"/>
          <w:highlight w:val="none"/>
          <w:lang w:eastAsia="zh-CN"/>
        </w:rPr>
        <w:t>）</w:t>
      </w:r>
      <w:r>
        <w:rPr>
          <w:rFonts w:hint="eastAsia" w:ascii="宋体" w:hAnsi="宋体" w:eastAsia="宋体" w:cs="宋体"/>
          <w:color w:val="auto"/>
          <w:kern w:val="2"/>
          <w:sz w:val="24"/>
          <w:szCs w:val="24"/>
          <w:highlight w:val="none"/>
          <w:lang w:val="en-US" w:eastAsia="zh-CN" w:bidi="ar"/>
        </w:rPr>
        <w:t>响应文件、签订合同和处理有关事宜，其法律后果由我方承担。</w:t>
      </w:r>
    </w:p>
    <w:p w14:paraId="7D72838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委托期限：</w:t>
      </w:r>
      <w:r>
        <w:rPr>
          <w:rFonts w:hint="eastAsia" w:ascii="宋体" w:hAnsi="宋体" w:eastAsia="宋体" w:cs="宋体"/>
          <w:color w:val="auto"/>
          <w:kern w:val="2"/>
          <w:sz w:val="24"/>
          <w:szCs w:val="24"/>
          <w:highlight w:val="none"/>
          <w:u w:val="single"/>
          <w:lang w:val="en-US" w:eastAsia="zh-CN" w:bidi="ar"/>
        </w:rPr>
        <w:t>自授权委托之日起至签订合同之日止</w:t>
      </w:r>
      <w:r>
        <w:rPr>
          <w:rFonts w:hint="eastAsia" w:ascii="宋体" w:hAnsi="宋体" w:eastAsia="宋体" w:cs="宋体"/>
          <w:color w:val="auto"/>
          <w:kern w:val="2"/>
          <w:sz w:val="24"/>
          <w:szCs w:val="24"/>
          <w:highlight w:val="none"/>
          <w:lang w:val="en-US" w:eastAsia="zh-CN" w:bidi="ar"/>
        </w:rPr>
        <w:t>。</w:t>
      </w:r>
    </w:p>
    <w:p w14:paraId="3580B6BF">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代理人无转委托权。</w:t>
      </w:r>
    </w:p>
    <w:p w14:paraId="53933ED3">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附：</w:t>
      </w:r>
      <w:r>
        <w:rPr>
          <w:rFonts w:hint="eastAsia" w:ascii="宋体" w:hAnsi="宋体" w:eastAsia="宋体" w:cs="宋体"/>
          <w:b/>
          <w:bCs/>
          <w:color w:val="auto"/>
          <w:kern w:val="2"/>
          <w:sz w:val="24"/>
          <w:szCs w:val="24"/>
          <w:highlight w:val="none"/>
          <w:lang w:val="en-US" w:eastAsia="zh-CN" w:bidi="ar"/>
        </w:rPr>
        <w:t>法定代表人身份证明、委托代理人的身份证正反面复印件</w:t>
      </w:r>
    </w:p>
    <w:p w14:paraId="3D463D91">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6FB65A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CCD08D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3C0EACA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16B8F3F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签字或法人章</w:t>
      </w:r>
      <w:r>
        <w:rPr>
          <w:rFonts w:hint="default" w:ascii="Times New Roman" w:hAnsi="Times New Roman" w:eastAsia="宋体" w:cs="Times New Roman"/>
          <w:color w:val="auto"/>
          <w:kern w:val="2"/>
          <w:sz w:val="24"/>
          <w:szCs w:val="24"/>
          <w:highlight w:val="none"/>
          <w:lang w:val="en-US" w:eastAsia="zh-CN" w:bidi="ar"/>
        </w:rPr>
        <w:t>)</w:t>
      </w:r>
    </w:p>
    <w:p w14:paraId="525583E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384C2D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7C3CD185">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710465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w:t>
      </w:r>
      <w:r>
        <w:rPr>
          <w:rFonts w:hint="default" w:ascii="Times New Roman" w:hAnsi="Times New Roman" w:eastAsia="宋体" w:cs="Times New Roman"/>
          <w:color w:val="auto"/>
          <w:kern w:val="2"/>
          <w:sz w:val="24"/>
          <w:szCs w:val="24"/>
          <w:highlight w:val="none"/>
          <w:lang w:val="en-US" w:eastAsia="zh-CN" w:bidi="ar"/>
        </w:rPr>
        <w:t>)</w:t>
      </w:r>
    </w:p>
    <w:p w14:paraId="13D971C1">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B2676B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5E06A33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9FC42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7E0BE6E8">
      <w:pPr>
        <w:keepNext w:val="0"/>
        <w:keepLines w:val="0"/>
        <w:widowControl w:val="0"/>
        <w:suppressLineNumbers w:val="0"/>
        <w:spacing w:before="0" w:beforeAutospacing="0" w:after="0" w:afterAutospacing="0" w:line="440" w:lineRule="exact"/>
        <w:ind w:left="0" w:right="0" w:firstLine="1800" w:firstLineChars="75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3F131C83">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03567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845F19E">
      <w:pPr>
        <w:keepNext w:val="0"/>
        <w:keepLines w:val="0"/>
        <w:widowControl w:val="0"/>
        <w:suppressLineNumbers w:val="0"/>
        <w:spacing w:before="0" w:beforeAutospacing="0" w:after="0" w:afterAutospacing="0" w:line="440" w:lineRule="exact"/>
        <w:ind w:left="0" w:right="0"/>
        <w:jc w:val="both"/>
        <w:rPr>
          <w:rFonts w:hint="eastAsia"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注：</w:t>
      </w:r>
    </w:p>
    <w:p w14:paraId="3FBE584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法定代表人（单位负责人）参加响应活动并签署文件的不需要授权委托书，只需提供法定代表人（单位负责人）身份证明；非法定代表人（单位负责人）参加响应活动及签署文件的除提供法定代表人（单位负责人）身份证明外还须提供授权委托书。</w:t>
      </w:r>
      <w:r>
        <w:rPr>
          <w:rFonts w:hint="default" w:ascii="Times New Roman" w:hAnsi="Times New Roman" w:eastAsia="黑体" w:cs="Times New Roman"/>
          <w:color w:val="auto"/>
          <w:kern w:val="2"/>
          <w:sz w:val="24"/>
          <w:szCs w:val="24"/>
          <w:highlight w:val="none"/>
          <w:lang w:val="en-US" w:eastAsia="zh-CN" w:bidi="ar"/>
        </w:rPr>
        <w:br w:type="page"/>
      </w:r>
    </w:p>
    <w:p w14:paraId="64234B60">
      <w:pPr>
        <w:rPr>
          <w:rFonts w:hint="default" w:ascii="Times New Roman" w:hAnsi="Times New Roman" w:eastAsia="黑体" w:cs="Times New Roman"/>
          <w:color w:val="auto"/>
          <w:kern w:val="2"/>
          <w:sz w:val="24"/>
          <w:szCs w:val="24"/>
          <w:highlight w:val="none"/>
        </w:rPr>
        <w:sectPr>
          <w:headerReference r:id="rId6" w:type="default"/>
          <w:footerReference r:id="rId7" w:type="default"/>
          <w:pgSz w:w="11906" w:h="16838"/>
          <w:pgMar w:top="1440" w:right="1797" w:bottom="1440" w:left="1797" w:header="851" w:footer="992" w:gutter="0"/>
          <w:pgNumType w:fmt="decimal"/>
          <w:cols w:space="425" w:num="1"/>
          <w:docGrid w:type="lines" w:linePitch="312" w:charSpace="0"/>
        </w:sectPr>
      </w:pPr>
    </w:p>
    <w:p w14:paraId="627761A5">
      <w:pPr>
        <w:spacing w:line="440" w:lineRule="exact"/>
        <w:jc w:val="center"/>
        <w:rPr>
          <w:rFonts w:ascii="Times New Roman" w:hAnsi="Times New Roman" w:eastAsia="黑体" w:cs="Times New Roman"/>
          <w:color w:val="auto"/>
          <w:sz w:val="24"/>
        </w:rPr>
      </w:pPr>
    </w:p>
    <w:p w14:paraId="6F9D4476">
      <w:pPr>
        <w:spacing w:line="440" w:lineRule="exact"/>
        <w:jc w:val="center"/>
        <w:outlineLvl w:val="1"/>
        <w:rPr>
          <w:rFonts w:ascii="Times New Roman" w:hAnsi="Times New Roman" w:eastAsia="黑体" w:cs="Times New Roman"/>
          <w:color w:val="auto"/>
          <w:sz w:val="28"/>
          <w:szCs w:val="28"/>
        </w:rPr>
      </w:pPr>
      <w:bookmarkStart w:id="144" w:name="_Toc1902_WPSOffice_Level1"/>
      <w:bookmarkStart w:id="145" w:name="_Toc202_WPSOffice_Level1"/>
      <w:r>
        <w:rPr>
          <w:rFonts w:hint="eastAsia" w:ascii="Times New Roman" w:hAnsi="Times New Roman" w:eastAsia="黑体" w:cs="Times New Roman"/>
          <w:color w:val="auto"/>
          <w:sz w:val="28"/>
          <w:szCs w:val="28"/>
        </w:rPr>
        <w:t>三</w:t>
      </w:r>
      <w:r>
        <w:rPr>
          <w:rFonts w:ascii="Times New Roman" w:hAnsi="Times New Roman" w:eastAsia="黑体" w:cs="Times New Roman"/>
          <w:color w:val="auto"/>
          <w:sz w:val="28"/>
          <w:szCs w:val="28"/>
        </w:rPr>
        <w:t>、已标价</w:t>
      </w:r>
      <w:r>
        <w:rPr>
          <w:rFonts w:hint="eastAsia" w:ascii="Times New Roman" w:hAnsi="Times New Roman" w:eastAsia="黑体" w:cs="Times New Roman"/>
          <w:color w:val="auto"/>
          <w:sz w:val="28"/>
          <w:szCs w:val="28"/>
        </w:rPr>
        <w:t>的报价</w:t>
      </w:r>
      <w:r>
        <w:rPr>
          <w:rFonts w:ascii="Times New Roman" w:hAnsi="Times New Roman" w:eastAsia="黑体" w:cs="Times New Roman"/>
          <w:color w:val="auto"/>
          <w:sz w:val="28"/>
          <w:szCs w:val="28"/>
        </w:rPr>
        <w:t>清单</w:t>
      </w:r>
      <w:bookmarkEnd w:id="144"/>
      <w:bookmarkEnd w:id="145"/>
    </w:p>
    <w:p w14:paraId="7F584D90">
      <w:pPr>
        <w:spacing w:line="440" w:lineRule="exact"/>
        <w:rPr>
          <w:rFonts w:ascii="Times New Roman" w:hAnsi="Times New Roman" w:eastAsia="黑体" w:cs="Times New Roman"/>
          <w:color w:val="auto"/>
          <w:sz w:val="24"/>
        </w:rPr>
      </w:pPr>
    </w:p>
    <w:p w14:paraId="79A48053">
      <w:pPr>
        <w:spacing w:line="440" w:lineRule="exact"/>
        <w:rPr>
          <w:rFonts w:ascii="Times New Roman" w:hAnsi="Times New Roman" w:eastAsia="黑体" w:cs="Times New Roman"/>
          <w:color w:val="auto"/>
          <w:sz w:val="24"/>
        </w:rPr>
      </w:pPr>
    </w:p>
    <w:p w14:paraId="2D9830B4">
      <w:pPr>
        <w:rPr>
          <w:rFonts w:hint="eastAsia" w:ascii="Times New Roman" w:hAnsi="Times New Roman" w:eastAsia="黑体" w:cs="Times New Roman"/>
          <w:color w:val="auto"/>
          <w:sz w:val="24"/>
          <w:highlight w:val="yellow"/>
          <w:lang w:val="en-US" w:eastAsia="zh-CN"/>
        </w:rPr>
      </w:pPr>
      <w:r>
        <w:rPr>
          <w:rFonts w:hint="eastAsia" w:ascii="Times New Roman" w:hAnsi="Times New Roman" w:eastAsia="黑体" w:cs="Times New Roman"/>
          <w:color w:val="auto"/>
          <w:sz w:val="24"/>
          <w:highlight w:val="yellow"/>
          <w:lang w:val="en-US" w:eastAsia="zh-CN"/>
        </w:rPr>
        <w:t>附报价清单</w:t>
      </w:r>
    </w:p>
    <w:p w14:paraId="755869E1">
      <w:pPr>
        <w:rPr>
          <w:rFonts w:hint="eastAsia" w:ascii="Times New Roman" w:hAnsi="Times New Roman" w:eastAsia="黑体" w:cs="Times New Roman"/>
          <w:color w:val="auto"/>
          <w:sz w:val="24"/>
          <w:lang w:val="en-US" w:eastAsia="zh-CN"/>
        </w:rPr>
      </w:pPr>
    </w:p>
    <w:p w14:paraId="313BC8BC">
      <w:pPr>
        <w:rPr>
          <w:rFonts w:hint="eastAsia" w:ascii="Times New Roman" w:hAnsi="Times New Roman" w:eastAsia="黑体" w:cs="Times New Roman"/>
          <w:color w:val="auto"/>
          <w:sz w:val="24"/>
          <w:lang w:val="en-US" w:eastAsia="zh-CN"/>
        </w:rPr>
      </w:pPr>
    </w:p>
    <w:p w14:paraId="614DE404">
      <w:pPr>
        <w:rPr>
          <w:rFonts w:hint="eastAsia" w:ascii="Times New Roman" w:hAnsi="Times New Roman" w:eastAsia="黑体" w:cs="Times New Roman"/>
          <w:color w:val="auto"/>
          <w:sz w:val="24"/>
          <w:lang w:val="en-US" w:eastAsia="zh-CN"/>
        </w:rPr>
      </w:pPr>
    </w:p>
    <w:p w14:paraId="221EADEE">
      <w:pPr>
        <w:rPr>
          <w:rFonts w:hint="eastAsia" w:ascii="Times New Roman" w:hAnsi="Times New Roman" w:eastAsia="黑体" w:cs="Times New Roman"/>
          <w:color w:val="auto"/>
          <w:sz w:val="24"/>
          <w:lang w:val="en-US" w:eastAsia="zh-CN"/>
        </w:rPr>
      </w:pPr>
    </w:p>
    <w:p w14:paraId="677CE117">
      <w:pPr>
        <w:rPr>
          <w:rFonts w:hint="eastAsia" w:ascii="Times New Roman" w:hAnsi="Times New Roman" w:eastAsia="黑体" w:cs="Times New Roman"/>
          <w:color w:val="auto"/>
          <w:sz w:val="24"/>
          <w:lang w:val="en-US" w:eastAsia="zh-CN"/>
        </w:rPr>
      </w:pPr>
    </w:p>
    <w:p w14:paraId="68A3AA33">
      <w:pPr>
        <w:rPr>
          <w:rFonts w:hint="eastAsia" w:ascii="Times New Roman" w:hAnsi="Times New Roman" w:eastAsia="黑体" w:cs="Times New Roman"/>
          <w:color w:val="auto"/>
          <w:sz w:val="24"/>
          <w:lang w:val="en-US" w:eastAsia="zh-CN"/>
        </w:rPr>
      </w:pPr>
    </w:p>
    <w:p w14:paraId="36E9EB69">
      <w:pPr>
        <w:rPr>
          <w:rFonts w:hint="eastAsia" w:ascii="Times New Roman" w:hAnsi="Times New Roman" w:eastAsia="黑体" w:cs="Times New Roman"/>
          <w:color w:val="auto"/>
          <w:sz w:val="24"/>
          <w:lang w:val="en-US" w:eastAsia="zh-CN"/>
        </w:rPr>
      </w:pPr>
    </w:p>
    <w:p w14:paraId="46648904">
      <w:pPr>
        <w:rPr>
          <w:rFonts w:hint="eastAsia" w:ascii="Times New Roman" w:hAnsi="Times New Roman" w:eastAsia="黑体" w:cs="Times New Roman"/>
          <w:color w:val="auto"/>
          <w:sz w:val="24"/>
          <w:lang w:val="en-US" w:eastAsia="zh-CN"/>
        </w:rPr>
      </w:pPr>
    </w:p>
    <w:p w14:paraId="43529C98">
      <w:pPr>
        <w:rPr>
          <w:rFonts w:hint="eastAsia" w:ascii="Times New Roman" w:hAnsi="Times New Roman" w:eastAsia="黑体" w:cs="Times New Roman"/>
          <w:color w:val="auto"/>
          <w:sz w:val="24"/>
          <w:lang w:val="en-US" w:eastAsia="zh-CN"/>
        </w:rPr>
      </w:pPr>
    </w:p>
    <w:p w14:paraId="309E3A90">
      <w:pPr>
        <w:rPr>
          <w:rFonts w:hint="eastAsia" w:ascii="Times New Roman" w:hAnsi="Times New Roman" w:eastAsia="黑体" w:cs="Times New Roman"/>
          <w:color w:val="auto"/>
          <w:sz w:val="24"/>
          <w:lang w:val="en-US" w:eastAsia="zh-CN"/>
        </w:rPr>
      </w:pPr>
    </w:p>
    <w:p w14:paraId="76F17DCC">
      <w:pPr>
        <w:rPr>
          <w:rFonts w:hint="eastAsia" w:ascii="Times New Roman" w:hAnsi="Times New Roman" w:eastAsia="黑体" w:cs="Times New Roman"/>
          <w:color w:val="auto"/>
          <w:sz w:val="24"/>
          <w:lang w:val="en-US" w:eastAsia="zh-CN"/>
        </w:rPr>
      </w:pPr>
    </w:p>
    <w:p w14:paraId="12D31025">
      <w:pPr>
        <w:rPr>
          <w:rFonts w:hint="eastAsia" w:ascii="Times New Roman" w:hAnsi="Times New Roman" w:eastAsia="黑体" w:cs="Times New Roman"/>
          <w:color w:val="auto"/>
          <w:sz w:val="24"/>
          <w:lang w:val="en-US" w:eastAsia="zh-CN"/>
        </w:rPr>
      </w:pPr>
    </w:p>
    <w:p w14:paraId="4D149A82">
      <w:pPr>
        <w:rPr>
          <w:rFonts w:hint="eastAsia" w:ascii="Times New Roman" w:hAnsi="Times New Roman" w:eastAsia="黑体" w:cs="Times New Roman"/>
          <w:color w:val="auto"/>
          <w:sz w:val="24"/>
          <w:lang w:val="en-US" w:eastAsia="zh-CN"/>
        </w:rPr>
      </w:pPr>
    </w:p>
    <w:p w14:paraId="67DC3A90">
      <w:pPr>
        <w:rPr>
          <w:rFonts w:hint="eastAsia" w:ascii="Times New Roman" w:hAnsi="Times New Roman" w:eastAsia="黑体" w:cs="Times New Roman"/>
          <w:color w:val="auto"/>
          <w:sz w:val="24"/>
          <w:lang w:val="en-US" w:eastAsia="zh-CN"/>
        </w:rPr>
      </w:pPr>
    </w:p>
    <w:p w14:paraId="1873DF5E">
      <w:pPr>
        <w:rPr>
          <w:rFonts w:hint="eastAsia" w:ascii="Times New Roman" w:hAnsi="Times New Roman" w:eastAsia="黑体" w:cs="Times New Roman"/>
          <w:color w:val="auto"/>
          <w:sz w:val="24"/>
          <w:lang w:val="en-US" w:eastAsia="zh-CN"/>
        </w:rPr>
      </w:pPr>
    </w:p>
    <w:p w14:paraId="05ADDCE2">
      <w:pPr>
        <w:rPr>
          <w:rFonts w:hint="eastAsia" w:ascii="Times New Roman" w:hAnsi="Times New Roman" w:eastAsia="黑体" w:cs="Times New Roman"/>
          <w:color w:val="auto"/>
          <w:sz w:val="24"/>
          <w:lang w:val="en-US" w:eastAsia="zh-CN"/>
        </w:rPr>
      </w:pPr>
    </w:p>
    <w:p w14:paraId="75C59C2F">
      <w:pPr>
        <w:rPr>
          <w:rFonts w:hint="eastAsia" w:ascii="Times New Roman" w:hAnsi="Times New Roman" w:eastAsia="黑体" w:cs="Times New Roman"/>
          <w:color w:val="auto"/>
          <w:sz w:val="24"/>
          <w:lang w:val="en-US" w:eastAsia="zh-CN"/>
        </w:rPr>
      </w:pPr>
    </w:p>
    <w:p w14:paraId="1FFF6224">
      <w:pPr>
        <w:rPr>
          <w:rFonts w:hint="eastAsia" w:ascii="Times New Roman" w:hAnsi="Times New Roman" w:eastAsia="黑体" w:cs="Times New Roman"/>
          <w:color w:val="auto"/>
          <w:sz w:val="24"/>
          <w:lang w:val="en-US" w:eastAsia="zh-CN"/>
        </w:rPr>
      </w:pPr>
    </w:p>
    <w:p w14:paraId="57FFFB75">
      <w:pPr>
        <w:rPr>
          <w:rFonts w:hint="eastAsia" w:ascii="Times New Roman" w:hAnsi="Times New Roman" w:eastAsia="黑体" w:cs="Times New Roman"/>
          <w:color w:val="auto"/>
          <w:sz w:val="24"/>
          <w:lang w:val="en-US" w:eastAsia="zh-CN"/>
        </w:rPr>
      </w:pPr>
    </w:p>
    <w:p w14:paraId="2EFF929D">
      <w:pPr>
        <w:rPr>
          <w:rFonts w:hint="eastAsia" w:ascii="Times New Roman" w:hAnsi="Times New Roman" w:eastAsia="黑体" w:cs="Times New Roman"/>
          <w:color w:val="auto"/>
          <w:sz w:val="24"/>
          <w:lang w:val="en-US" w:eastAsia="zh-CN"/>
        </w:rPr>
      </w:pPr>
    </w:p>
    <w:p w14:paraId="77B5C00D">
      <w:pPr>
        <w:rPr>
          <w:rFonts w:hint="eastAsia" w:ascii="Times New Roman" w:hAnsi="Times New Roman" w:eastAsia="黑体" w:cs="Times New Roman"/>
          <w:color w:val="auto"/>
          <w:sz w:val="24"/>
          <w:lang w:val="en-US" w:eastAsia="zh-CN"/>
        </w:rPr>
      </w:pPr>
    </w:p>
    <w:p w14:paraId="44EEACA3">
      <w:pPr>
        <w:rPr>
          <w:rFonts w:hint="eastAsia" w:ascii="Times New Roman" w:hAnsi="Times New Roman" w:eastAsia="黑体" w:cs="Times New Roman"/>
          <w:color w:val="auto"/>
          <w:sz w:val="24"/>
          <w:lang w:val="en-US" w:eastAsia="zh-CN"/>
        </w:rPr>
      </w:pPr>
    </w:p>
    <w:p w14:paraId="72CED34C">
      <w:pPr>
        <w:rPr>
          <w:rFonts w:hint="eastAsia" w:ascii="Times New Roman" w:hAnsi="Times New Roman" w:eastAsia="黑体" w:cs="Times New Roman"/>
          <w:color w:val="auto"/>
          <w:sz w:val="24"/>
          <w:lang w:val="en-US" w:eastAsia="zh-CN"/>
        </w:rPr>
      </w:pPr>
    </w:p>
    <w:p w14:paraId="239DAAFE">
      <w:pPr>
        <w:rPr>
          <w:rFonts w:hint="eastAsia" w:ascii="Times New Roman" w:hAnsi="Times New Roman" w:eastAsia="黑体" w:cs="Times New Roman"/>
          <w:color w:val="auto"/>
          <w:sz w:val="24"/>
          <w:lang w:val="en-US" w:eastAsia="zh-CN"/>
        </w:rPr>
      </w:pPr>
    </w:p>
    <w:p w14:paraId="234A7265">
      <w:pPr>
        <w:rPr>
          <w:rFonts w:hint="eastAsia" w:ascii="Times New Roman" w:hAnsi="Times New Roman" w:eastAsia="黑体" w:cs="Times New Roman"/>
          <w:color w:val="auto"/>
          <w:sz w:val="24"/>
          <w:lang w:val="en-US" w:eastAsia="zh-CN"/>
        </w:rPr>
      </w:pPr>
    </w:p>
    <w:p w14:paraId="2C2086CE">
      <w:pPr>
        <w:rPr>
          <w:rFonts w:hint="eastAsia" w:ascii="Times New Roman" w:hAnsi="Times New Roman" w:eastAsia="黑体" w:cs="Times New Roman"/>
          <w:color w:val="auto"/>
          <w:sz w:val="24"/>
          <w:lang w:val="en-US" w:eastAsia="zh-CN"/>
        </w:rPr>
      </w:pPr>
    </w:p>
    <w:p w14:paraId="49413E3D">
      <w:pPr>
        <w:rPr>
          <w:rFonts w:hint="eastAsia" w:ascii="Times New Roman" w:hAnsi="Times New Roman" w:eastAsia="黑体" w:cs="Times New Roman"/>
          <w:color w:val="auto"/>
          <w:sz w:val="24"/>
          <w:lang w:val="en-US" w:eastAsia="zh-CN"/>
        </w:rPr>
      </w:pPr>
    </w:p>
    <w:p w14:paraId="6180CB61">
      <w:pPr>
        <w:rPr>
          <w:rFonts w:hint="eastAsia" w:ascii="Times New Roman" w:hAnsi="Times New Roman" w:eastAsia="黑体" w:cs="Times New Roman"/>
          <w:color w:val="auto"/>
          <w:sz w:val="24"/>
          <w:lang w:val="en-US" w:eastAsia="zh-CN"/>
        </w:rPr>
      </w:pPr>
    </w:p>
    <w:p w14:paraId="3431DD63">
      <w:pPr>
        <w:rPr>
          <w:rFonts w:hint="eastAsia" w:ascii="Times New Roman" w:hAnsi="Times New Roman" w:eastAsia="黑体" w:cs="Times New Roman"/>
          <w:color w:val="auto"/>
          <w:sz w:val="24"/>
          <w:lang w:val="en-US" w:eastAsia="zh-CN"/>
        </w:rPr>
      </w:pPr>
    </w:p>
    <w:p w14:paraId="744F0335">
      <w:pPr>
        <w:rPr>
          <w:rFonts w:hint="eastAsia" w:ascii="Times New Roman" w:hAnsi="Times New Roman" w:eastAsia="黑体" w:cs="Times New Roman"/>
          <w:color w:val="auto"/>
          <w:sz w:val="24"/>
          <w:lang w:val="en-US" w:eastAsia="zh-CN"/>
        </w:rPr>
      </w:pPr>
    </w:p>
    <w:p w14:paraId="39DBE9CA">
      <w:pPr>
        <w:rPr>
          <w:rFonts w:hint="eastAsia" w:ascii="Times New Roman" w:hAnsi="Times New Roman" w:eastAsia="黑体" w:cs="Times New Roman"/>
          <w:color w:val="auto"/>
          <w:sz w:val="24"/>
          <w:lang w:val="en-US" w:eastAsia="zh-CN"/>
        </w:rPr>
      </w:pPr>
    </w:p>
    <w:p w14:paraId="763089AA">
      <w:pPr>
        <w:rPr>
          <w:rFonts w:hint="eastAsia" w:ascii="Times New Roman" w:hAnsi="Times New Roman" w:eastAsia="黑体" w:cs="Times New Roman"/>
          <w:color w:val="auto"/>
          <w:sz w:val="24"/>
          <w:lang w:val="en-US" w:eastAsia="zh-CN"/>
        </w:rPr>
      </w:pPr>
    </w:p>
    <w:p w14:paraId="30E183E2">
      <w:pPr>
        <w:rPr>
          <w:rFonts w:hint="eastAsia" w:ascii="Times New Roman" w:hAnsi="Times New Roman" w:eastAsia="黑体" w:cs="Times New Roman"/>
          <w:color w:val="auto"/>
          <w:sz w:val="24"/>
          <w:lang w:val="en-US" w:eastAsia="zh-CN"/>
        </w:rPr>
      </w:pPr>
    </w:p>
    <w:p w14:paraId="770EE0B8">
      <w:pPr>
        <w:rPr>
          <w:rFonts w:hint="eastAsia" w:ascii="Times New Roman" w:hAnsi="Times New Roman" w:eastAsia="黑体" w:cs="Times New Roman"/>
          <w:color w:val="auto"/>
          <w:sz w:val="24"/>
          <w:lang w:val="en-US" w:eastAsia="zh-CN"/>
        </w:rPr>
      </w:pPr>
    </w:p>
    <w:p w14:paraId="68D976BE">
      <w:pPr>
        <w:rPr>
          <w:rFonts w:hint="eastAsia" w:ascii="Times New Roman" w:hAnsi="Times New Roman" w:eastAsia="黑体" w:cs="Times New Roman"/>
          <w:color w:val="auto"/>
          <w:sz w:val="24"/>
          <w:lang w:val="en-US" w:eastAsia="zh-CN"/>
        </w:rPr>
      </w:pPr>
    </w:p>
    <w:p w14:paraId="3A8A9F05">
      <w:pPr>
        <w:rPr>
          <w:rFonts w:hint="eastAsia" w:ascii="Times New Roman" w:hAnsi="Times New Roman" w:eastAsia="黑体" w:cs="Times New Roman"/>
          <w:color w:val="auto"/>
          <w:sz w:val="24"/>
          <w:lang w:val="en-US" w:eastAsia="zh-CN"/>
        </w:rPr>
      </w:pPr>
    </w:p>
    <w:p w14:paraId="080C9096">
      <w:pPr>
        <w:rPr>
          <w:rFonts w:hint="eastAsia" w:ascii="Times New Roman" w:hAnsi="Times New Roman" w:eastAsia="黑体" w:cs="Times New Roman"/>
          <w:color w:val="auto"/>
          <w:sz w:val="24"/>
          <w:lang w:val="en-US" w:eastAsia="zh-CN"/>
        </w:rPr>
      </w:pPr>
    </w:p>
    <w:p w14:paraId="2FDDF648">
      <w:pPr>
        <w:rPr>
          <w:rFonts w:hint="default" w:ascii="Times New Roman" w:hAnsi="Times New Roman" w:eastAsia="黑体" w:cs="Times New Roman"/>
          <w:color w:val="auto"/>
          <w:sz w:val="24"/>
          <w:lang w:val="en-US" w:eastAsia="zh-CN"/>
        </w:rPr>
      </w:pPr>
    </w:p>
    <w:p w14:paraId="54F87B9A">
      <w:pPr>
        <w:adjustRightInd w:val="0"/>
        <w:snapToGrid w:val="0"/>
        <w:spacing w:line="360" w:lineRule="auto"/>
        <w:ind w:firstLine="420" w:firstLineChars="200"/>
        <w:rPr>
          <w:rFonts w:ascii="宋体" w:hAnsi="宋体"/>
          <w:color w:val="auto"/>
          <w:szCs w:val="21"/>
          <w:highlight w:val="none"/>
          <w:u w:val="none"/>
        </w:rPr>
      </w:pPr>
      <w:r>
        <w:rPr>
          <w:rFonts w:ascii="宋体" w:hAnsi="宋体"/>
          <w:color w:val="auto"/>
          <w:szCs w:val="21"/>
          <w:highlight w:val="none"/>
          <w:u w:val="none"/>
        </w:rPr>
        <w:t>1．本采购清单应与</w:t>
      </w:r>
      <w:r>
        <w:rPr>
          <w:rFonts w:hint="eastAsia" w:ascii="宋体" w:hAnsi="宋体"/>
          <w:color w:val="auto"/>
          <w:szCs w:val="21"/>
          <w:highlight w:val="none"/>
          <w:u w:val="none"/>
          <w:lang w:eastAsia="zh-CN"/>
        </w:rPr>
        <w:t>采购文件</w:t>
      </w:r>
      <w:r>
        <w:rPr>
          <w:rFonts w:ascii="宋体" w:hAnsi="宋体"/>
          <w:color w:val="auto"/>
          <w:szCs w:val="21"/>
          <w:highlight w:val="none"/>
          <w:u w:val="none"/>
        </w:rPr>
        <w:t>、合同条款等文件结合起来查阅与理解。</w:t>
      </w:r>
    </w:p>
    <w:p w14:paraId="76960C0B">
      <w:pPr>
        <w:adjustRightInd w:val="0"/>
        <w:snapToGrid w:val="0"/>
        <w:spacing w:line="360" w:lineRule="auto"/>
        <w:ind w:firstLine="420" w:firstLineChars="200"/>
        <w:rPr>
          <w:rFonts w:hint="eastAsia" w:ascii="宋体" w:hAnsi="宋体"/>
          <w:color w:val="auto"/>
          <w:szCs w:val="21"/>
          <w:highlight w:val="none"/>
          <w:u w:val="none"/>
        </w:rPr>
      </w:pPr>
      <w:r>
        <w:rPr>
          <w:rFonts w:ascii="宋体" w:hAnsi="宋体"/>
          <w:color w:val="auto"/>
          <w:szCs w:val="21"/>
          <w:highlight w:val="none"/>
          <w:u w:val="none"/>
        </w:rPr>
        <w:t>2．</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人在采购清单报价表中填写的综合单价应为</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人按照</w:t>
      </w:r>
      <w:r>
        <w:rPr>
          <w:rFonts w:hint="eastAsia" w:ascii="宋体" w:hAnsi="宋体"/>
          <w:color w:val="auto"/>
          <w:szCs w:val="21"/>
          <w:highlight w:val="none"/>
          <w:u w:val="none"/>
          <w:lang w:eastAsia="zh-CN"/>
        </w:rPr>
        <w:t>采购文件</w:t>
      </w:r>
      <w:r>
        <w:rPr>
          <w:rFonts w:hint="eastAsia" w:ascii="宋体" w:hAnsi="宋体"/>
          <w:color w:val="auto"/>
          <w:szCs w:val="21"/>
          <w:highlight w:val="none"/>
          <w:u w:val="none"/>
        </w:rPr>
        <w:t>要求完成该项目全部服务内容的费用，包括：报价包含了</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人的货物费、人工费、材料费</w:t>
      </w:r>
      <w:r>
        <w:rPr>
          <w:rFonts w:hint="eastAsia" w:ascii="宋体" w:hAnsi="宋体"/>
          <w:color w:val="auto"/>
          <w:szCs w:val="21"/>
          <w:highlight w:val="none"/>
          <w:u w:val="none"/>
          <w:lang w:eastAsia="zh-CN"/>
        </w:rPr>
        <w:t>、</w:t>
      </w:r>
      <w:r>
        <w:rPr>
          <w:rFonts w:hint="eastAsia" w:ascii="宋体" w:hAnsi="宋体"/>
          <w:color w:val="auto"/>
          <w:szCs w:val="21"/>
          <w:highlight w:val="none"/>
          <w:u w:val="none"/>
        </w:rPr>
        <w:t>机械费、运输费、</w:t>
      </w:r>
      <w:r>
        <w:rPr>
          <w:rFonts w:hint="eastAsia" w:ascii="宋体" w:hAnsi="宋体"/>
          <w:color w:val="auto"/>
          <w:szCs w:val="21"/>
          <w:highlight w:val="none"/>
          <w:u w:val="none"/>
          <w:lang w:val="en-US" w:eastAsia="zh-CN"/>
        </w:rPr>
        <w:t>安装费、</w:t>
      </w:r>
      <w:r>
        <w:rPr>
          <w:rFonts w:hint="eastAsia" w:ascii="宋体" w:hAnsi="宋体"/>
          <w:color w:val="auto"/>
          <w:szCs w:val="21"/>
          <w:highlight w:val="none"/>
          <w:u w:val="none"/>
        </w:rPr>
        <w:t>管理费、利润、风险</w:t>
      </w:r>
      <w:r>
        <w:rPr>
          <w:rFonts w:hint="eastAsia" w:ascii="宋体" w:hAnsi="宋体"/>
          <w:color w:val="auto"/>
          <w:szCs w:val="21"/>
          <w:highlight w:val="none"/>
          <w:u w:val="none"/>
          <w:lang w:eastAsia="zh-CN"/>
        </w:rPr>
        <w:t>、报检</w:t>
      </w:r>
      <w:r>
        <w:rPr>
          <w:rFonts w:hint="eastAsia" w:ascii="宋体" w:hAnsi="宋体"/>
          <w:color w:val="auto"/>
          <w:szCs w:val="21"/>
          <w:highlight w:val="none"/>
          <w:u w:val="none"/>
        </w:rPr>
        <w:t>等所有费用，在合同履行期间不得以任何理由提出综合单价变更的请求。</w:t>
      </w:r>
    </w:p>
    <w:p w14:paraId="4299408A">
      <w:pPr>
        <w:adjustRightInd w:val="0"/>
        <w:snapToGrid w:val="0"/>
        <w:spacing w:line="360" w:lineRule="auto"/>
        <w:ind w:firstLine="420" w:firstLineChars="200"/>
        <w:rPr>
          <w:rFonts w:hint="eastAsia" w:ascii="宋体" w:hAnsi="宋体"/>
          <w:color w:val="auto"/>
          <w:szCs w:val="21"/>
          <w:highlight w:val="none"/>
          <w:u w:val="none"/>
        </w:rPr>
      </w:pPr>
      <w:r>
        <w:rPr>
          <w:rFonts w:hint="eastAsia" w:ascii="宋体" w:hAnsi="宋体"/>
          <w:color w:val="auto"/>
          <w:szCs w:val="21"/>
          <w:highlight w:val="none"/>
          <w:u w:val="none"/>
          <w:lang w:val="en-US" w:eastAsia="zh-CN"/>
        </w:rPr>
        <w:t>3.</w:t>
      </w:r>
      <w:r>
        <w:rPr>
          <w:rFonts w:hint="eastAsia" w:ascii="宋体" w:hAnsi="宋体"/>
          <w:color w:val="auto"/>
          <w:szCs w:val="21"/>
          <w:highlight w:val="none"/>
          <w:u w:val="none"/>
        </w:rPr>
        <w:t>采购清单报价表中综合单价在合同履行期间不调整。</w:t>
      </w:r>
    </w:p>
    <w:p w14:paraId="68A3E70B">
      <w:pPr>
        <w:adjustRightInd w:val="0"/>
        <w:snapToGrid w:val="0"/>
        <w:spacing w:line="360" w:lineRule="auto"/>
        <w:ind w:firstLine="420" w:firstLineChars="200"/>
        <w:rPr>
          <w:rFonts w:ascii="宋体" w:hAnsi="宋体"/>
          <w:color w:val="auto"/>
          <w:szCs w:val="21"/>
          <w:u w:val="none"/>
        </w:rPr>
      </w:pPr>
      <w:r>
        <w:rPr>
          <w:rFonts w:hint="eastAsia" w:ascii="宋体" w:hAnsi="宋体"/>
          <w:color w:val="auto"/>
          <w:szCs w:val="21"/>
          <w:highlight w:val="none"/>
          <w:u w:val="none"/>
          <w:lang w:val="en-US" w:eastAsia="zh-CN"/>
        </w:rPr>
        <w:t>4.</w:t>
      </w:r>
      <w:r>
        <w:rPr>
          <w:rFonts w:ascii="宋体" w:hAnsi="宋体"/>
          <w:color w:val="auto"/>
          <w:szCs w:val="21"/>
          <w:highlight w:val="none"/>
          <w:u w:val="none"/>
        </w:rPr>
        <w:t>采购清单中的各项费用货币单位均为人民币(元)。</w:t>
      </w:r>
    </w:p>
    <w:p w14:paraId="28535319">
      <w:pPr>
        <w:adjustRightInd w:val="0"/>
        <w:snapToGrid w:val="0"/>
        <w:spacing w:line="360" w:lineRule="auto"/>
        <w:ind w:firstLine="420" w:firstLineChars="200"/>
        <w:rPr>
          <w:rFonts w:ascii="宋体" w:hAnsi="宋体"/>
          <w:color w:val="auto"/>
          <w:szCs w:val="21"/>
          <w:u w:val="none"/>
        </w:rPr>
      </w:pPr>
    </w:p>
    <w:p w14:paraId="0A7CFA51">
      <w:pPr>
        <w:spacing w:beforeLines="0" w:afterLines="0" w:line="360" w:lineRule="auto"/>
        <w:jc w:val="center"/>
        <w:rPr>
          <w:rFonts w:hint="eastAsia" w:ascii="宋体" w:hAnsi="宋体"/>
          <w:b/>
          <w:color w:val="auto"/>
          <w:sz w:val="21"/>
          <w:szCs w:val="21"/>
        </w:rPr>
      </w:pPr>
      <w:bookmarkStart w:id="146" w:name="_Toc22419_WPSOffice_Level1"/>
      <w:bookmarkStart w:id="147" w:name="_Toc19774_WPSOffice_Level1"/>
      <w:r>
        <w:rPr>
          <w:rFonts w:hint="eastAsia" w:ascii="宋体" w:hAnsi="宋体" w:cs="宋体"/>
          <w:b/>
          <w:color w:val="auto"/>
          <w:sz w:val="21"/>
          <w:szCs w:val="21"/>
          <w:lang w:bidi="ar"/>
        </w:rPr>
        <w:t>B．报价清单表</w:t>
      </w:r>
    </w:p>
    <w:tbl>
      <w:tblPr>
        <w:tblStyle w:val="20"/>
        <w:tblW w:w="8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2549"/>
        <w:gridCol w:w="2880"/>
        <w:gridCol w:w="2673"/>
      </w:tblGrid>
      <w:tr w14:paraId="4E831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B93DF75">
            <w:pPr>
              <w:pStyle w:val="16"/>
              <w:widowControl w:val="0"/>
              <w:spacing w:beforeLines="0" w:after="120" w:afterLines="0" w:afterAutospacing="0"/>
              <w:jc w:val="center"/>
              <w:rPr>
                <w:rFonts w:hint="eastAsia"/>
                <w:color w:val="auto"/>
                <w:kern w:val="2"/>
                <w:sz w:val="21"/>
                <w:szCs w:val="21"/>
              </w:rPr>
            </w:pPr>
            <w:r>
              <w:rPr>
                <w:rFonts w:hint="eastAsia"/>
                <w:color w:val="auto"/>
                <w:kern w:val="2"/>
                <w:sz w:val="21"/>
                <w:szCs w:val="21"/>
                <w:lang w:bidi="ar"/>
              </w:rPr>
              <w:t>序号</w:t>
            </w:r>
          </w:p>
        </w:tc>
        <w:tc>
          <w:tcPr>
            <w:tcW w:w="254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E419A28">
            <w:pPr>
              <w:pStyle w:val="16"/>
              <w:widowControl w:val="0"/>
              <w:spacing w:beforeLines="0" w:after="120" w:afterLines="0" w:afterAutospacing="0"/>
              <w:jc w:val="center"/>
              <w:rPr>
                <w:rFonts w:hint="eastAsia" w:ascii="Calibri" w:hAnsi="Calibri" w:eastAsia="宋体" w:cs="Times New Roman"/>
                <w:color w:val="auto"/>
                <w:kern w:val="2"/>
                <w:sz w:val="21"/>
                <w:szCs w:val="21"/>
                <w:lang w:eastAsia="zh-CN"/>
              </w:rPr>
            </w:pPr>
            <w:r>
              <w:rPr>
                <w:rFonts w:hint="eastAsia"/>
                <w:color w:val="auto"/>
                <w:kern w:val="2"/>
                <w:sz w:val="21"/>
                <w:szCs w:val="21"/>
                <w:lang w:bidi="ar"/>
              </w:rPr>
              <w:t>采购项目</w:t>
            </w:r>
            <w:r>
              <w:rPr>
                <w:rFonts w:hint="eastAsia"/>
                <w:color w:val="auto"/>
                <w:kern w:val="2"/>
                <w:sz w:val="21"/>
                <w:szCs w:val="21"/>
                <w:u w:val="single"/>
                <w:lang w:val="en-US" w:eastAsia="zh-CN" w:bidi="ar"/>
              </w:rPr>
              <w:t xml:space="preserve">    </w:t>
            </w:r>
            <w:r>
              <w:rPr>
                <w:rFonts w:hint="eastAsia"/>
                <w:color w:val="auto"/>
                <w:kern w:val="2"/>
                <w:sz w:val="21"/>
                <w:szCs w:val="21"/>
                <w:lang w:eastAsia="zh-CN" w:bidi="ar"/>
              </w:rPr>
              <w:t>（</w:t>
            </w:r>
            <w:r>
              <w:rPr>
                <w:rFonts w:hint="eastAsia"/>
                <w:color w:val="auto"/>
                <w:kern w:val="2"/>
                <w:sz w:val="21"/>
                <w:szCs w:val="21"/>
                <w:lang w:val="en-US" w:eastAsia="zh-CN" w:bidi="ar"/>
              </w:rPr>
              <w:t>包段</w:t>
            </w:r>
            <w:r>
              <w:rPr>
                <w:rFonts w:hint="eastAsia"/>
                <w:color w:val="auto"/>
                <w:kern w:val="2"/>
                <w:sz w:val="21"/>
                <w:szCs w:val="21"/>
                <w:lang w:eastAsia="zh-CN" w:bidi="ar"/>
              </w:rPr>
              <w:t>）</w:t>
            </w:r>
          </w:p>
        </w:tc>
        <w:tc>
          <w:tcPr>
            <w:tcW w:w="288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453F964">
            <w:pPr>
              <w:pStyle w:val="16"/>
              <w:widowControl w:val="0"/>
              <w:spacing w:beforeLines="0" w:after="120" w:afterLines="0" w:afterAutospacing="0"/>
              <w:jc w:val="center"/>
              <w:rPr>
                <w:rFonts w:hint="eastAsia"/>
                <w:color w:val="auto"/>
                <w:kern w:val="2"/>
                <w:sz w:val="21"/>
                <w:szCs w:val="21"/>
              </w:rPr>
            </w:pPr>
            <w:r>
              <w:rPr>
                <w:rFonts w:hint="eastAsia"/>
                <w:color w:val="auto"/>
                <w:kern w:val="2"/>
                <w:sz w:val="21"/>
                <w:szCs w:val="21"/>
                <w:lang w:bidi="ar"/>
              </w:rPr>
              <w:t>总计金额（元）</w:t>
            </w:r>
          </w:p>
        </w:tc>
        <w:tc>
          <w:tcPr>
            <w:tcW w:w="267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765267F">
            <w:pPr>
              <w:pStyle w:val="16"/>
              <w:widowControl w:val="0"/>
              <w:spacing w:beforeLines="0" w:after="120" w:afterLines="0" w:afterAutospacing="0"/>
              <w:jc w:val="center"/>
              <w:rPr>
                <w:rFonts w:hint="eastAsia"/>
                <w:color w:val="auto"/>
                <w:kern w:val="2"/>
                <w:sz w:val="21"/>
                <w:szCs w:val="21"/>
              </w:rPr>
            </w:pPr>
            <w:r>
              <w:rPr>
                <w:rFonts w:hint="eastAsia"/>
                <w:color w:val="auto"/>
                <w:kern w:val="2"/>
                <w:sz w:val="21"/>
                <w:szCs w:val="21"/>
                <w:lang w:bidi="ar"/>
              </w:rPr>
              <w:t>备注</w:t>
            </w:r>
          </w:p>
        </w:tc>
      </w:tr>
      <w:tr w14:paraId="05385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jc w:val="center"/>
        </w:trPr>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6D8B105">
            <w:pPr>
              <w:pStyle w:val="16"/>
              <w:widowControl w:val="0"/>
              <w:spacing w:beforeLines="0" w:after="120" w:afterLines="0" w:afterAutospacing="0"/>
              <w:jc w:val="center"/>
              <w:rPr>
                <w:rFonts w:hint="eastAsia"/>
                <w:color w:val="auto"/>
                <w:kern w:val="2"/>
                <w:sz w:val="21"/>
                <w:szCs w:val="21"/>
              </w:rPr>
            </w:pPr>
            <w:r>
              <w:rPr>
                <w:rFonts w:hint="eastAsia"/>
                <w:color w:val="auto"/>
                <w:kern w:val="2"/>
                <w:sz w:val="21"/>
                <w:szCs w:val="21"/>
                <w:lang w:bidi="ar"/>
              </w:rPr>
              <w:t>1</w:t>
            </w:r>
          </w:p>
        </w:tc>
        <w:tc>
          <w:tcPr>
            <w:tcW w:w="254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513D102">
            <w:pPr>
              <w:pStyle w:val="16"/>
              <w:widowControl w:val="0"/>
              <w:spacing w:beforeLines="0" w:after="120" w:afterLines="0" w:afterAutospacing="0"/>
              <w:jc w:val="center"/>
              <w:rPr>
                <w:rFonts w:hint="eastAsia"/>
                <w:color w:val="auto"/>
                <w:kern w:val="2"/>
                <w:sz w:val="21"/>
                <w:szCs w:val="21"/>
              </w:rPr>
            </w:pPr>
            <w:r>
              <w:rPr>
                <w:rFonts w:hint="eastAsia"/>
                <w:color w:val="auto"/>
                <w:kern w:val="2"/>
                <w:sz w:val="21"/>
                <w:szCs w:val="21"/>
                <w:lang w:bidi="ar"/>
              </w:rPr>
              <w:t>合计</w:t>
            </w:r>
          </w:p>
        </w:tc>
        <w:tc>
          <w:tcPr>
            <w:tcW w:w="288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750877F">
            <w:pPr>
              <w:pStyle w:val="16"/>
              <w:widowControl w:val="0"/>
              <w:spacing w:beforeLines="0" w:after="120" w:afterLines="0" w:afterAutospacing="0"/>
              <w:ind w:firstLine="420" w:firstLineChars="200"/>
              <w:jc w:val="both"/>
              <w:rPr>
                <w:rFonts w:hint="eastAsia"/>
                <w:color w:val="auto"/>
                <w:kern w:val="2"/>
                <w:sz w:val="21"/>
                <w:szCs w:val="21"/>
              </w:rPr>
            </w:pPr>
          </w:p>
        </w:tc>
        <w:tc>
          <w:tcPr>
            <w:tcW w:w="267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037E659">
            <w:pPr>
              <w:pStyle w:val="16"/>
              <w:widowControl w:val="0"/>
              <w:spacing w:beforeLines="0" w:after="120" w:afterLines="0" w:afterAutospacing="0"/>
              <w:jc w:val="both"/>
              <w:rPr>
                <w:rFonts w:hint="eastAsia"/>
                <w:color w:val="auto"/>
                <w:kern w:val="2"/>
                <w:sz w:val="21"/>
                <w:szCs w:val="21"/>
              </w:rPr>
            </w:pPr>
            <w:r>
              <w:rPr>
                <w:rFonts w:hint="eastAsia"/>
                <w:color w:val="auto"/>
                <w:kern w:val="2"/>
                <w:sz w:val="21"/>
                <w:szCs w:val="21"/>
                <w:lang w:bidi="ar"/>
              </w:rPr>
              <w:t>含税（</w:t>
            </w:r>
            <w:r>
              <w:rPr>
                <w:rFonts w:hint="default" w:ascii="Times New Roman" w:hAnsi="Times New Roman" w:cs="Times New Roman"/>
                <w:color w:val="auto"/>
                <w:kern w:val="2"/>
                <w:sz w:val="21"/>
                <w:szCs w:val="21"/>
                <w:lang w:bidi="ar"/>
              </w:rPr>
              <w:t>13%</w:t>
            </w:r>
            <w:r>
              <w:rPr>
                <w:rFonts w:hint="eastAsia"/>
                <w:color w:val="auto"/>
                <w:kern w:val="2"/>
                <w:sz w:val="21"/>
                <w:szCs w:val="21"/>
                <w:lang w:bidi="ar"/>
              </w:rPr>
              <w:t>）增值税专用发票 ，详见附件报价单。</w:t>
            </w:r>
          </w:p>
        </w:tc>
      </w:tr>
      <w:tr w14:paraId="245F7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333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2C992D91">
            <w:pPr>
              <w:pStyle w:val="16"/>
              <w:widowControl w:val="0"/>
              <w:spacing w:beforeLines="0" w:after="120" w:afterLines="0" w:afterAutospacing="0"/>
              <w:ind w:left="420" w:leftChars="200" w:firstLine="420" w:firstLineChars="200"/>
              <w:jc w:val="center"/>
              <w:rPr>
                <w:rFonts w:hint="eastAsia"/>
                <w:color w:val="auto"/>
                <w:kern w:val="2"/>
                <w:sz w:val="21"/>
                <w:szCs w:val="21"/>
              </w:rPr>
            </w:pPr>
            <w:r>
              <w:rPr>
                <w:rFonts w:hint="eastAsia"/>
                <w:color w:val="auto"/>
                <w:kern w:val="2"/>
                <w:sz w:val="21"/>
                <w:szCs w:val="21"/>
                <w:lang w:bidi="ar"/>
              </w:rPr>
              <w:t>总合计金额（元）</w:t>
            </w:r>
          </w:p>
        </w:tc>
        <w:tc>
          <w:tcPr>
            <w:tcW w:w="555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6A19D013">
            <w:pPr>
              <w:pStyle w:val="16"/>
              <w:widowControl w:val="0"/>
              <w:spacing w:beforeLines="0" w:after="120" w:afterLines="0" w:afterAutospacing="0"/>
              <w:rPr>
                <w:rFonts w:hint="eastAsia"/>
                <w:color w:val="auto"/>
                <w:kern w:val="2"/>
                <w:sz w:val="21"/>
                <w:szCs w:val="21"/>
              </w:rPr>
            </w:pPr>
            <w:r>
              <w:rPr>
                <w:rFonts w:hint="eastAsia"/>
                <w:color w:val="auto"/>
                <w:kern w:val="2"/>
                <w:sz w:val="21"/>
                <w:szCs w:val="21"/>
              </w:rPr>
              <w:t>大写：</w:t>
            </w:r>
          </w:p>
        </w:tc>
      </w:tr>
    </w:tbl>
    <w:p w14:paraId="372DFD83">
      <w:pPr>
        <w:pStyle w:val="16"/>
        <w:widowControl w:val="0"/>
        <w:spacing w:beforeLines="0" w:after="120" w:afterLines="0" w:afterAutospacing="0"/>
        <w:jc w:val="both"/>
        <w:rPr>
          <w:rFonts w:hint="eastAsia" w:cs="Times New Roman"/>
          <w:color w:val="auto"/>
          <w:kern w:val="2"/>
          <w:sz w:val="21"/>
          <w:szCs w:val="21"/>
        </w:rPr>
      </w:pPr>
      <w:r>
        <w:rPr>
          <w:rFonts w:hint="eastAsia" w:cs="Times New Roman"/>
          <w:color w:val="auto"/>
          <w:kern w:val="2"/>
          <w:sz w:val="21"/>
          <w:szCs w:val="21"/>
          <w:lang w:bidi="ar"/>
        </w:rPr>
        <w:t xml:space="preserve"> </w:t>
      </w:r>
    </w:p>
    <w:p w14:paraId="3D3625A9">
      <w:pPr>
        <w:spacing w:beforeLines="0" w:afterLines="0"/>
        <w:ind w:right="760"/>
        <w:rPr>
          <w:rFonts w:hint="eastAsia" w:ascii="宋体" w:hAnsi="宋体"/>
          <w:color w:val="auto"/>
          <w:sz w:val="21"/>
          <w:szCs w:val="21"/>
        </w:rPr>
      </w:pPr>
      <w:r>
        <w:rPr>
          <w:rFonts w:hint="eastAsia" w:ascii="宋体" w:hAnsi="宋体"/>
          <w:color w:val="auto"/>
          <w:sz w:val="21"/>
          <w:szCs w:val="21"/>
          <w:lang w:bidi="ar"/>
        </w:rPr>
        <w:t xml:space="preserve">  </w:t>
      </w:r>
      <w:r>
        <w:rPr>
          <w:rFonts w:hint="eastAsia" w:ascii="宋体" w:hAnsi="宋体" w:cs="宋体"/>
          <w:color w:val="auto"/>
          <w:sz w:val="21"/>
          <w:szCs w:val="21"/>
          <w:lang w:bidi="ar"/>
        </w:rPr>
        <w:t>报</w:t>
      </w:r>
      <w:r>
        <w:rPr>
          <w:rFonts w:hint="eastAsia" w:ascii="宋体" w:hAnsi="宋体"/>
          <w:color w:val="auto"/>
          <w:sz w:val="21"/>
          <w:szCs w:val="21"/>
          <w:lang w:bidi="ar"/>
        </w:rPr>
        <w:t xml:space="preserve"> </w:t>
      </w:r>
      <w:r>
        <w:rPr>
          <w:rFonts w:hint="eastAsia" w:ascii="宋体" w:hAnsi="宋体" w:cs="宋体"/>
          <w:color w:val="auto"/>
          <w:sz w:val="21"/>
          <w:szCs w:val="21"/>
          <w:lang w:bidi="ar"/>
        </w:rPr>
        <w:t>价</w:t>
      </w:r>
      <w:r>
        <w:rPr>
          <w:rFonts w:hint="eastAsia" w:ascii="宋体" w:hAnsi="宋体"/>
          <w:color w:val="auto"/>
          <w:sz w:val="21"/>
          <w:szCs w:val="21"/>
          <w:lang w:bidi="ar"/>
        </w:rPr>
        <w:t xml:space="preserve"> </w:t>
      </w:r>
      <w:r>
        <w:rPr>
          <w:rFonts w:hint="eastAsia" w:ascii="宋体" w:hAnsi="宋体" w:cs="宋体"/>
          <w:color w:val="auto"/>
          <w:sz w:val="21"/>
          <w:szCs w:val="21"/>
          <w:lang w:bidi="ar"/>
        </w:rPr>
        <w:t>人：</w:t>
      </w:r>
      <w:r>
        <w:rPr>
          <w:rFonts w:hint="eastAsia" w:ascii="宋体" w:hAnsi="宋体"/>
          <w:color w:val="auto"/>
          <w:sz w:val="21"/>
          <w:szCs w:val="21"/>
          <w:u w:val="single"/>
          <w:lang w:bidi="ar"/>
        </w:rPr>
        <w:t xml:space="preserve">                                </w:t>
      </w:r>
      <w:r>
        <w:rPr>
          <w:rFonts w:hint="eastAsia" w:ascii="宋体" w:hAnsi="宋体" w:cs="宋体"/>
          <w:color w:val="auto"/>
          <w:sz w:val="21"/>
          <w:szCs w:val="21"/>
          <w:lang w:bidi="ar"/>
        </w:rPr>
        <w:t>（盖章</w:t>
      </w:r>
      <w:r>
        <w:rPr>
          <w:rFonts w:hint="eastAsia" w:ascii="宋体" w:hAnsi="宋体"/>
          <w:color w:val="auto"/>
          <w:sz w:val="21"/>
          <w:szCs w:val="21"/>
          <w:lang w:bidi="ar"/>
        </w:rPr>
        <w:t xml:space="preserve"> </w:t>
      </w:r>
      <w:r>
        <w:rPr>
          <w:rFonts w:hint="eastAsia" w:ascii="宋体" w:hAnsi="宋体" w:cs="宋体"/>
          <w:color w:val="auto"/>
          <w:sz w:val="21"/>
          <w:szCs w:val="21"/>
          <w:lang w:bidi="ar"/>
        </w:rPr>
        <w:t>）</w:t>
      </w:r>
    </w:p>
    <w:p w14:paraId="222F316A">
      <w:pPr>
        <w:spacing w:beforeLines="0" w:afterLines="0"/>
        <w:ind w:right="480" w:firstLine="1470" w:firstLineChars="700"/>
        <w:jc w:val="right"/>
        <w:rPr>
          <w:rFonts w:hint="eastAsia" w:ascii="宋体" w:hAnsi="宋体"/>
          <w:color w:val="auto"/>
          <w:sz w:val="21"/>
          <w:szCs w:val="21"/>
        </w:rPr>
      </w:pPr>
      <w:r>
        <w:rPr>
          <w:rFonts w:hint="eastAsia" w:ascii="宋体" w:hAnsi="宋体"/>
          <w:color w:val="auto"/>
          <w:sz w:val="21"/>
          <w:szCs w:val="21"/>
          <w:lang w:bidi="ar"/>
        </w:rPr>
        <w:t xml:space="preserve"> </w:t>
      </w:r>
    </w:p>
    <w:p w14:paraId="6D4F003E">
      <w:pPr>
        <w:spacing w:beforeLines="0" w:afterLines="0"/>
        <w:ind w:right="480" w:firstLine="210" w:firstLineChars="100"/>
        <w:rPr>
          <w:rFonts w:hint="eastAsia" w:ascii="宋体" w:hAnsi="宋体"/>
          <w:color w:val="auto"/>
          <w:sz w:val="21"/>
          <w:szCs w:val="21"/>
        </w:rPr>
      </w:pPr>
      <w:r>
        <w:rPr>
          <w:rFonts w:hint="eastAsia" w:ascii="宋体" w:hAnsi="宋体" w:cs="宋体"/>
          <w:color w:val="auto"/>
          <w:sz w:val="21"/>
          <w:szCs w:val="21"/>
          <w:lang w:bidi="ar"/>
        </w:rPr>
        <w:t>报价人法定代表人或其授权的代理人：</w:t>
      </w:r>
      <w:r>
        <w:rPr>
          <w:rFonts w:hint="eastAsia" w:ascii="宋体" w:hAnsi="宋体"/>
          <w:color w:val="auto"/>
          <w:sz w:val="21"/>
          <w:szCs w:val="21"/>
          <w:u w:val="single"/>
          <w:lang w:bidi="ar"/>
        </w:rPr>
        <w:t xml:space="preserve">                        </w:t>
      </w:r>
      <w:r>
        <w:rPr>
          <w:rFonts w:hint="eastAsia" w:ascii="宋体" w:hAnsi="宋体" w:cs="宋体"/>
          <w:color w:val="auto"/>
          <w:sz w:val="21"/>
          <w:szCs w:val="21"/>
          <w:lang w:bidi="ar"/>
        </w:rPr>
        <w:t>（签字）</w:t>
      </w:r>
    </w:p>
    <w:p w14:paraId="2AC5FCB5">
      <w:pPr>
        <w:pStyle w:val="16"/>
        <w:widowControl w:val="0"/>
        <w:spacing w:beforeLines="0" w:after="120" w:afterLines="0" w:afterAutospacing="0"/>
        <w:ind w:firstLine="210" w:firstLineChars="100"/>
        <w:jc w:val="both"/>
        <w:rPr>
          <w:rFonts w:hint="eastAsia"/>
          <w:color w:val="auto"/>
          <w:kern w:val="2"/>
          <w:sz w:val="21"/>
          <w:szCs w:val="21"/>
          <w:lang w:bidi="ar"/>
        </w:rPr>
      </w:pPr>
      <w:r>
        <w:rPr>
          <w:rFonts w:hint="eastAsia"/>
          <w:color w:val="auto"/>
          <w:kern w:val="2"/>
          <w:sz w:val="21"/>
          <w:szCs w:val="21"/>
          <w:lang w:bidi="ar"/>
        </w:rPr>
        <w:t>日</w:t>
      </w:r>
      <w:r>
        <w:rPr>
          <w:rFonts w:hint="eastAsia" w:ascii="Calibri" w:hAnsi="Calibri" w:cs="Times New Roman"/>
          <w:color w:val="auto"/>
          <w:kern w:val="2"/>
          <w:sz w:val="21"/>
          <w:szCs w:val="21"/>
          <w:lang w:bidi="ar"/>
        </w:rPr>
        <w:t xml:space="preserve">    </w:t>
      </w:r>
      <w:r>
        <w:rPr>
          <w:rFonts w:hint="eastAsia"/>
          <w:color w:val="auto"/>
          <w:kern w:val="2"/>
          <w:sz w:val="21"/>
          <w:szCs w:val="21"/>
          <w:lang w:bidi="ar"/>
        </w:rPr>
        <w:t>期：</w:t>
      </w:r>
      <w:r>
        <w:rPr>
          <w:rFonts w:hint="eastAsia" w:ascii="Calibri" w:hAnsi="Calibri" w:cs="Times New Roman"/>
          <w:color w:val="auto"/>
          <w:kern w:val="2"/>
          <w:sz w:val="21"/>
          <w:szCs w:val="21"/>
          <w:lang w:bidi="ar"/>
        </w:rPr>
        <w:t xml:space="preserve">   </w:t>
      </w:r>
      <w:r>
        <w:rPr>
          <w:rFonts w:hint="eastAsia"/>
          <w:color w:val="auto"/>
          <w:kern w:val="2"/>
          <w:sz w:val="21"/>
          <w:szCs w:val="21"/>
          <w:lang w:bidi="ar"/>
        </w:rPr>
        <w:t>年</w:t>
      </w:r>
      <w:r>
        <w:rPr>
          <w:rFonts w:hint="eastAsia" w:ascii="Calibri" w:hAnsi="Calibri" w:cs="Times New Roman"/>
          <w:color w:val="auto"/>
          <w:kern w:val="2"/>
          <w:sz w:val="21"/>
          <w:szCs w:val="21"/>
          <w:lang w:bidi="ar"/>
        </w:rPr>
        <w:t xml:space="preserve">  </w:t>
      </w:r>
      <w:r>
        <w:rPr>
          <w:rFonts w:hint="eastAsia"/>
          <w:color w:val="auto"/>
          <w:kern w:val="2"/>
          <w:sz w:val="21"/>
          <w:szCs w:val="21"/>
          <w:lang w:bidi="ar"/>
        </w:rPr>
        <w:t>月</w:t>
      </w:r>
      <w:r>
        <w:rPr>
          <w:rFonts w:hint="eastAsia" w:ascii="Calibri" w:hAnsi="Calibri" w:cs="Times New Roman"/>
          <w:color w:val="auto"/>
          <w:kern w:val="2"/>
          <w:sz w:val="21"/>
          <w:szCs w:val="21"/>
          <w:lang w:bidi="ar"/>
        </w:rPr>
        <w:t xml:space="preserve">  </w:t>
      </w:r>
      <w:r>
        <w:rPr>
          <w:rFonts w:hint="eastAsia"/>
          <w:color w:val="auto"/>
          <w:kern w:val="2"/>
          <w:sz w:val="21"/>
          <w:szCs w:val="21"/>
          <w:lang w:bidi="ar"/>
        </w:rPr>
        <w:t>日</w:t>
      </w:r>
    </w:p>
    <w:p w14:paraId="2DE504E1">
      <w:pPr>
        <w:pStyle w:val="16"/>
        <w:widowControl w:val="0"/>
        <w:spacing w:beforeLines="0" w:after="120" w:afterLines="0" w:afterAutospacing="0"/>
        <w:ind w:firstLine="210" w:firstLineChars="100"/>
        <w:jc w:val="both"/>
        <w:rPr>
          <w:rFonts w:hint="eastAsia"/>
          <w:color w:val="auto"/>
          <w:kern w:val="2"/>
          <w:sz w:val="21"/>
          <w:szCs w:val="21"/>
          <w:lang w:bidi="ar"/>
        </w:rPr>
      </w:pPr>
    </w:p>
    <w:p w14:paraId="594E7B26">
      <w:pPr>
        <w:pStyle w:val="16"/>
        <w:widowControl w:val="0"/>
        <w:spacing w:beforeLines="0" w:after="120" w:afterLines="0" w:afterAutospacing="0"/>
        <w:ind w:firstLine="210" w:firstLineChars="100"/>
        <w:jc w:val="both"/>
        <w:rPr>
          <w:rFonts w:hint="eastAsia"/>
          <w:color w:val="auto"/>
          <w:kern w:val="2"/>
          <w:sz w:val="21"/>
          <w:szCs w:val="21"/>
          <w:lang w:bidi="ar"/>
        </w:rPr>
      </w:pPr>
    </w:p>
    <w:p w14:paraId="4B8D205E">
      <w:pPr>
        <w:pStyle w:val="16"/>
        <w:widowControl w:val="0"/>
        <w:spacing w:beforeLines="0" w:after="120" w:afterLines="0" w:afterAutospacing="0"/>
        <w:ind w:firstLine="210" w:firstLineChars="100"/>
        <w:jc w:val="both"/>
        <w:rPr>
          <w:rFonts w:hint="eastAsia"/>
          <w:color w:val="auto"/>
          <w:kern w:val="2"/>
          <w:sz w:val="21"/>
          <w:szCs w:val="21"/>
          <w:lang w:bidi="ar"/>
        </w:rPr>
      </w:pPr>
    </w:p>
    <w:p w14:paraId="2DAD797F">
      <w:pPr>
        <w:pStyle w:val="16"/>
        <w:widowControl w:val="0"/>
        <w:spacing w:beforeLines="0" w:after="120" w:afterLines="0" w:afterAutospacing="0"/>
        <w:ind w:firstLine="210" w:firstLineChars="100"/>
        <w:jc w:val="both"/>
        <w:rPr>
          <w:rFonts w:hint="eastAsia"/>
          <w:color w:val="auto"/>
          <w:kern w:val="2"/>
          <w:sz w:val="21"/>
          <w:szCs w:val="21"/>
          <w:lang w:bidi="ar"/>
        </w:rPr>
      </w:pPr>
    </w:p>
    <w:p w14:paraId="659F392D">
      <w:pPr>
        <w:pStyle w:val="16"/>
        <w:widowControl w:val="0"/>
        <w:spacing w:beforeLines="0" w:after="120" w:afterLines="0" w:afterAutospacing="0"/>
        <w:ind w:firstLine="210" w:firstLineChars="100"/>
        <w:jc w:val="both"/>
        <w:rPr>
          <w:rFonts w:hint="eastAsia"/>
          <w:color w:val="auto"/>
          <w:kern w:val="2"/>
          <w:sz w:val="21"/>
          <w:szCs w:val="21"/>
          <w:lang w:bidi="ar"/>
        </w:rPr>
      </w:pPr>
    </w:p>
    <w:p w14:paraId="20DAD830">
      <w:pPr>
        <w:pStyle w:val="16"/>
        <w:widowControl w:val="0"/>
        <w:spacing w:beforeLines="0" w:after="120" w:afterLines="0" w:afterAutospacing="0"/>
        <w:ind w:firstLine="210" w:firstLineChars="100"/>
        <w:jc w:val="both"/>
        <w:rPr>
          <w:rFonts w:hint="eastAsia"/>
          <w:color w:val="auto"/>
          <w:kern w:val="2"/>
          <w:sz w:val="21"/>
          <w:szCs w:val="21"/>
          <w:lang w:bidi="ar"/>
        </w:rPr>
      </w:pPr>
    </w:p>
    <w:p w14:paraId="12F40457">
      <w:pPr>
        <w:pStyle w:val="16"/>
        <w:widowControl w:val="0"/>
        <w:spacing w:beforeLines="0" w:after="120" w:afterLines="0" w:afterAutospacing="0"/>
        <w:ind w:firstLine="210" w:firstLineChars="100"/>
        <w:jc w:val="both"/>
        <w:rPr>
          <w:rFonts w:hint="eastAsia"/>
          <w:color w:val="auto"/>
          <w:kern w:val="2"/>
          <w:sz w:val="21"/>
          <w:szCs w:val="21"/>
          <w:lang w:bidi="ar"/>
        </w:rPr>
      </w:pPr>
    </w:p>
    <w:p w14:paraId="294562DF">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b/>
          <w:bCs/>
          <w:color w:val="auto"/>
          <w:kern w:val="2"/>
          <w:sz w:val="21"/>
          <w:szCs w:val="21"/>
          <w:u w:val="none"/>
          <w:lang w:val="en-US" w:eastAsia="zh-CN" w:bidi="ar-SA"/>
        </w:rPr>
        <w:t xml:space="preserve"> 备注：</w:t>
      </w:r>
      <w:r>
        <w:rPr>
          <w:rFonts w:hint="eastAsia" w:ascii="宋体" w:hAnsi="宋体" w:eastAsiaTheme="minorEastAsia" w:cstheme="minorBidi"/>
          <w:color w:val="auto"/>
          <w:kern w:val="2"/>
          <w:sz w:val="21"/>
          <w:szCs w:val="21"/>
          <w:u w:val="none"/>
          <w:lang w:val="en-US" w:eastAsia="zh-CN" w:bidi="ar-SA"/>
        </w:rPr>
        <w:t>1.上述费用包括货物的原材料、生产、包装、运输、</w:t>
      </w:r>
      <w:r>
        <w:rPr>
          <w:rFonts w:hint="eastAsia" w:ascii="宋体" w:hAnsi="宋体" w:cstheme="minorBidi"/>
          <w:color w:val="auto"/>
          <w:kern w:val="2"/>
          <w:sz w:val="21"/>
          <w:szCs w:val="21"/>
          <w:u w:val="none"/>
          <w:lang w:val="en-US" w:eastAsia="zh-CN" w:bidi="ar-SA"/>
        </w:rPr>
        <w:t>安装、</w:t>
      </w:r>
      <w:r>
        <w:rPr>
          <w:rFonts w:hint="eastAsia" w:ascii="宋体" w:hAnsi="宋体" w:eastAsiaTheme="minorEastAsia" w:cstheme="minorBidi"/>
          <w:color w:val="auto"/>
          <w:kern w:val="2"/>
          <w:sz w:val="21"/>
          <w:szCs w:val="21"/>
          <w:u w:val="none"/>
          <w:lang w:val="en-US" w:eastAsia="zh-CN" w:bidi="ar-SA"/>
        </w:rPr>
        <w:t>保险、卸货叉车费（如有）、人工费、卸车费、利润、税费等相关费用。</w:t>
      </w:r>
    </w:p>
    <w:p w14:paraId="4CE139B0">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2.最终结算以实际供货数量为准，送货时附带相关检测报告。</w:t>
      </w:r>
    </w:p>
    <w:p w14:paraId="6EB5B2D3">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3.必须按规定提供全部完整无损、全新的产品。涉及</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第三方复试费用均由供应商承担（含检测样品），抽检频率和批次按国家、行业标准或甲方要求执行。</w:t>
      </w:r>
    </w:p>
    <w:p w14:paraId="47594D73">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4.</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须在包装外壁醒目位置上永久性标示生产厂家、生产批次、品牌标志、规格型号、唯一性可追溯性编码标识（如二维码）等信息。</w:t>
      </w:r>
    </w:p>
    <w:p w14:paraId="422F5CCE">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5.</w:t>
      </w:r>
      <w:r>
        <w:rPr>
          <w:rFonts w:hint="eastAsia" w:ascii="宋体" w:hAnsi="宋体"/>
          <w:color w:val="auto"/>
          <w:sz w:val="21"/>
          <w:szCs w:val="21"/>
          <w:lang w:val="en-US" w:eastAsia="zh-CN"/>
        </w:rPr>
        <w:t>供应货物的</w:t>
      </w:r>
      <w:r>
        <w:rPr>
          <w:rFonts w:hint="eastAsia" w:ascii="宋体" w:hAnsi="宋体" w:eastAsiaTheme="minorEastAsia" w:cstheme="minorBidi"/>
          <w:color w:val="auto"/>
          <w:kern w:val="2"/>
          <w:sz w:val="21"/>
          <w:szCs w:val="21"/>
          <w:u w:val="none"/>
          <w:lang w:val="en-US" w:eastAsia="zh-CN" w:bidi="ar-SA"/>
        </w:rPr>
        <w:t>供货进度应满足采购人工程进度分批次实施的安排和要求，</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人应充分理解并全力配合采购人</w:t>
      </w:r>
      <w:r>
        <w:rPr>
          <w:rFonts w:hint="eastAsia" w:ascii="宋体" w:hAnsi="宋体"/>
          <w:color w:val="auto"/>
          <w:sz w:val="21"/>
          <w:szCs w:val="21"/>
          <w:lang w:val="en-US" w:eastAsia="zh-CN"/>
        </w:rPr>
        <w:t>关于供应货物的</w:t>
      </w:r>
      <w:r>
        <w:rPr>
          <w:rFonts w:hint="eastAsia" w:ascii="宋体" w:hAnsi="宋体"/>
          <w:color w:val="auto"/>
          <w:sz w:val="21"/>
          <w:szCs w:val="21"/>
        </w:rPr>
        <w:t>采购</w:t>
      </w:r>
      <w:r>
        <w:rPr>
          <w:rFonts w:hint="eastAsia" w:ascii="宋体" w:hAnsi="宋体" w:eastAsiaTheme="minorEastAsia" w:cstheme="minorBidi"/>
          <w:color w:val="auto"/>
          <w:kern w:val="2"/>
          <w:sz w:val="21"/>
          <w:szCs w:val="21"/>
          <w:u w:val="none"/>
          <w:lang w:val="en-US" w:eastAsia="zh-CN" w:bidi="ar-SA"/>
        </w:rPr>
        <w:t>、进场工作，并承担因送货次数增加而引起的运输成本增加等相应风险。</w:t>
      </w:r>
    </w:p>
    <w:p w14:paraId="21136FFB">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6.</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人对提供的</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质量负总责，材料进场应按程序履行报验、交接手续；因</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质量问题，将视作违约，</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人须赔偿由此造成返工的全部工程建设费用及其他一切损失，同时由采购人追究</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人的违约责任，情节严重的，依法追究相关责任。</w:t>
      </w:r>
    </w:p>
    <w:p w14:paraId="115314CD">
      <w:pPr>
        <w:pStyle w:val="16"/>
        <w:widowControl w:val="0"/>
        <w:spacing w:beforeLines="0" w:after="120" w:afterLines="0" w:afterAutospacing="0"/>
        <w:ind w:firstLine="210" w:firstLineChars="100"/>
        <w:jc w:val="both"/>
        <w:rPr>
          <w:rFonts w:hint="eastAsia"/>
          <w:color w:val="auto"/>
          <w:kern w:val="2"/>
          <w:sz w:val="21"/>
          <w:szCs w:val="21"/>
          <w:lang w:bidi="ar"/>
        </w:rPr>
      </w:pPr>
    </w:p>
    <w:p w14:paraId="029F8006">
      <w:pPr>
        <w:pStyle w:val="16"/>
        <w:widowControl w:val="0"/>
        <w:spacing w:beforeLines="0" w:after="120" w:afterLines="0" w:afterAutospacing="0"/>
        <w:ind w:firstLine="210" w:firstLineChars="100"/>
        <w:jc w:val="both"/>
        <w:rPr>
          <w:rFonts w:hint="eastAsia"/>
          <w:color w:val="auto"/>
          <w:kern w:val="2"/>
          <w:sz w:val="21"/>
          <w:szCs w:val="21"/>
          <w:lang w:bidi="ar"/>
        </w:rPr>
      </w:pPr>
    </w:p>
    <w:p w14:paraId="2D7C6742">
      <w:pPr>
        <w:pStyle w:val="16"/>
        <w:widowControl w:val="0"/>
        <w:spacing w:beforeLines="0" w:after="120" w:afterLines="0" w:afterAutospacing="0"/>
        <w:ind w:firstLine="210" w:firstLineChars="100"/>
        <w:jc w:val="both"/>
        <w:rPr>
          <w:rFonts w:hint="eastAsia"/>
          <w:color w:val="auto"/>
          <w:kern w:val="2"/>
          <w:sz w:val="21"/>
          <w:szCs w:val="21"/>
          <w:lang w:bidi="ar"/>
        </w:rPr>
      </w:pPr>
    </w:p>
    <w:p w14:paraId="551843C3">
      <w:pPr>
        <w:pStyle w:val="16"/>
        <w:widowControl w:val="0"/>
        <w:spacing w:beforeLines="0" w:after="120" w:afterLines="0" w:afterAutospacing="0"/>
        <w:ind w:firstLine="210" w:firstLineChars="100"/>
        <w:jc w:val="both"/>
        <w:rPr>
          <w:rFonts w:hint="eastAsia"/>
          <w:color w:val="auto"/>
          <w:kern w:val="2"/>
          <w:sz w:val="21"/>
          <w:szCs w:val="21"/>
          <w:lang w:bidi="ar"/>
        </w:rPr>
      </w:pPr>
    </w:p>
    <w:p w14:paraId="2C34E584">
      <w:pPr>
        <w:pStyle w:val="16"/>
        <w:widowControl w:val="0"/>
        <w:spacing w:beforeLines="0" w:after="120" w:afterLines="0" w:afterAutospacing="0"/>
        <w:ind w:firstLine="210" w:firstLineChars="100"/>
        <w:jc w:val="both"/>
        <w:rPr>
          <w:rFonts w:hint="eastAsia"/>
          <w:color w:val="auto"/>
          <w:kern w:val="2"/>
          <w:sz w:val="21"/>
          <w:szCs w:val="21"/>
          <w:lang w:bidi="ar"/>
        </w:rPr>
      </w:pPr>
    </w:p>
    <w:p w14:paraId="063B3013">
      <w:pPr>
        <w:pStyle w:val="16"/>
        <w:widowControl w:val="0"/>
        <w:spacing w:beforeLines="0" w:after="120" w:afterLines="0" w:afterAutospacing="0"/>
        <w:ind w:firstLine="210" w:firstLineChars="100"/>
        <w:jc w:val="both"/>
        <w:rPr>
          <w:rFonts w:hint="eastAsia"/>
          <w:color w:val="auto"/>
          <w:kern w:val="2"/>
          <w:sz w:val="21"/>
          <w:szCs w:val="21"/>
          <w:lang w:bidi="ar"/>
        </w:rPr>
      </w:pPr>
    </w:p>
    <w:p w14:paraId="229EE00A">
      <w:pPr>
        <w:pStyle w:val="16"/>
        <w:widowControl w:val="0"/>
        <w:spacing w:beforeLines="0" w:after="120" w:afterLines="0" w:afterAutospacing="0"/>
        <w:ind w:firstLine="210" w:firstLineChars="100"/>
        <w:jc w:val="both"/>
        <w:rPr>
          <w:rFonts w:hint="eastAsia"/>
          <w:color w:val="auto"/>
          <w:kern w:val="2"/>
          <w:sz w:val="21"/>
          <w:szCs w:val="21"/>
          <w:lang w:bidi="ar"/>
        </w:rPr>
      </w:pPr>
    </w:p>
    <w:p w14:paraId="7E2AD09D">
      <w:pPr>
        <w:pStyle w:val="16"/>
        <w:widowControl w:val="0"/>
        <w:spacing w:beforeLines="0" w:after="120" w:afterLines="0" w:afterAutospacing="0"/>
        <w:ind w:firstLine="210" w:firstLineChars="100"/>
        <w:jc w:val="both"/>
        <w:rPr>
          <w:rFonts w:hint="eastAsia"/>
          <w:color w:val="auto"/>
          <w:kern w:val="2"/>
          <w:sz w:val="21"/>
          <w:szCs w:val="21"/>
          <w:lang w:bidi="ar"/>
        </w:rPr>
      </w:pPr>
    </w:p>
    <w:p w14:paraId="1BF75DBE">
      <w:pPr>
        <w:pStyle w:val="16"/>
        <w:widowControl w:val="0"/>
        <w:spacing w:beforeLines="0" w:after="120" w:afterLines="0" w:afterAutospacing="0"/>
        <w:ind w:firstLine="210" w:firstLineChars="100"/>
        <w:jc w:val="both"/>
        <w:rPr>
          <w:rFonts w:hint="eastAsia"/>
          <w:color w:val="auto"/>
          <w:kern w:val="2"/>
          <w:sz w:val="21"/>
          <w:szCs w:val="21"/>
          <w:lang w:bidi="ar"/>
        </w:rPr>
      </w:pPr>
    </w:p>
    <w:p w14:paraId="4D365CD3">
      <w:pPr>
        <w:pStyle w:val="16"/>
        <w:widowControl w:val="0"/>
        <w:spacing w:beforeLines="0" w:after="120" w:afterLines="0" w:afterAutospacing="0"/>
        <w:ind w:firstLine="210" w:firstLineChars="100"/>
        <w:jc w:val="both"/>
        <w:rPr>
          <w:rFonts w:hint="eastAsia"/>
          <w:color w:val="auto"/>
          <w:kern w:val="2"/>
          <w:sz w:val="21"/>
          <w:szCs w:val="21"/>
          <w:lang w:bidi="ar"/>
        </w:rPr>
      </w:pPr>
    </w:p>
    <w:p w14:paraId="50A2C4CA">
      <w:pPr>
        <w:pStyle w:val="16"/>
        <w:widowControl w:val="0"/>
        <w:spacing w:beforeLines="0" w:after="120" w:afterLines="0" w:afterAutospacing="0"/>
        <w:ind w:firstLine="210" w:firstLineChars="100"/>
        <w:jc w:val="both"/>
        <w:rPr>
          <w:rFonts w:hint="eastAsia"/>
          <w:color w:val="auto"/>
          <w:kern w:val="2"/>
          <w:sz w:val="21"/>
          <w:szCs w:val="21"/>
          <w:lang w:bidi="ar"/>
        </w:rPr>
      </w:pPr>
    </w:p>
    <w:p w14:paraId="2CD14AC8">
      <w:pPr>
        <w:pStyle w:val="16"/>
        <w:widowControl w:val="0"/>
        <w:spacing w:beforeLines="0" w:after="120" w:afterLines="0" w:afterAutospacing="0"/>
        <w:ind w:firstLine="210" w:firstLineChars="100"/>
        <w:jc w:val="both"/>
        <w:rPr>
          <w:rFonts w:hint="eastAsia"/>
          <w:color w:val="auto"/>
          <w:kern w:val="2"/>
          <w:sz w:val="21"/>
          <w:szCs w:val="21"/>
          <w:lang w:bidi="ar"/>
        </w:rPr>
      </w:pPr>
    </w:p>
    <w:p w14:paraId="43CB09E7">
      <w:pPr>
        <w:pStyle w:val="16"/>
        <w:widowControl w:val="0"/>
        <w:spacing w:beforeLines="0" w:after="120" w:afterLines="0" w:afterAutospacing="0"/>
        <w:ind w:firstLine="210" w:firstLineChars="100"/>
        <w:jc w:val="both"/>
        <w:rPr>
          <w:rFonts w:hint="eastAsia"/>
          <w:color w:val="auto"/>
          <w:kern w:val="2"/>
          <w:sz w:val="21"/>
          <w:szCs w:val="21"/>
          <w:lang w:bidi="ar"/>
        </w:rPr>
      </w:pPr>
    </w:p>
    <w:p w14:paraId="29EEC152">
      <w:pPr>
        <w:spacing w:line="440" w:lineRule="exact"/>
        <w:jc w:val="center"/>
        <w:outlineLvl w:val="1"/>
        <w:rPr>
          <w:rFonts w:ascii="Times New Roman" w:hAnsi="Times New Roman" w:eastAsia="黑体" w:cs="Times New Roman"/>
          <w:color w:val="auto"/>
          <w:sz w:val="28"/>
          <w:szCs w:val="28"/>
        </w:rPr>
      </w:pPr>
      <w:r>
        <w:rPr>
          <w:rFonts w:hint="eastAsia" w:ascii="Times New Roman" w:hAnsi="Times New Roman" w:eastAsia="黑体" w:cs="Times New Roman"/>
          <w:color w:val="auto"/>
          <w:sz w:val="28"/>
          <w:szCs w:val="28"/>
        </w:rPr>
        <w:t>四</w:t>
      </w:r>
      <w:r>
        <w:rPr>
          <w:rFonts w:ascii="Times New Roman" w:hAnsi="Times New Roman" w:eastAsia="黑体" w:cs="Times New Roman"/>
          <w:color w:val="auto"/>
          <w:sz w:val="28"/>
          <w:szCs w:val="28"/>
        </w:rPr>
        <w:t>、</w:t>
      </w:r>
      <w:bookmarkStart w:id="148" w:name="_Toc803_WPSOffice_Level2"/>
      <w:bookmarkStart w:id="149" w:name="_Toc25374_WPSOffice_Level2"/>
      <w:r>
        <w:rPr>
          <w:rFonts w:ascii="Times New Roman" w:hAnsi="Times New Roman" w:eastAsia="黑体" w:cs="Times New Roman"/>
          <w:color w:val="auto"/>
          <w:sz w:val="28"/>
          <w:szCs w:val="28"/>
        </w:rPr>
        <w:t>供应商基本情况</w:t>
      </w:r>
      <w:bookmarkEnd w:id="146"/>
      <w:bookmarkEnd w:id="147"/>
      <w:bookmarkEnd w:id="148"/>
      <w:bookmarkEnd w:id="149"/>
    </w:p>
    <w:p w14:paraId="477B4247">
      <w:pPr>
        <w:topLinePunct/>
        <w:spacing w:line="440" w:lineRule="exact"/>
        <w:jc w:val="center"/>
        <w:rPr>
          <w:rFonts w:ascii="Times New Roman" w:hAnsi="Times New Roman" w:cs="Times New Roman"/>
          <w:color w:val="auto"/>
          <w:sz w:val="23"/>
          <w:szCs w:val="23"/>
        </w:rPr>
      </w:pPr>
    </w:p>
    <w:tbl>
      <w:tblPr>
        <w:tblStyle w:val="20"/>
        <w:tblW w:w="86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2356"/>
      </w:tblGrid>
      <w:tr w14:paraId="1524C6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1F552B35">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供应商名称</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21675B42">
            <w:pPr>
              <w:topLinePunct/>
              <w:spacing w:line="440" w:lineRule="exact"/>
              <w:jc w:val="center"/>
              <w:rPr>
                <w:rFonts w:ascii="Times New Roman" w:hAnsi="Times New Roman" w:cs="Times New Roman"/>
                <w:color w:val="auto"/>
                <w:szCs w:val="21"/>
              </w:rPr>
            </w:pPr>
          </w:p>
        </w:tc>
      </w:tr>
      <w:tr w14:paraId="018B46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3ECCAB5E">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4CD705EC">
            <w:pPr>
              <w:topLinePunct/>
              <w:spacing w:line="440" w:lineRule="exact"/>
              <w:jc w:val="center"/>
              <w:rPr>
                <w:rFonts w:ascii="Times New Roman" w:hAnsi="Times New Roman" w:cs="Times New Roman"/>
                <w:color w:val="auto"/>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700B013A">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电 话</w:t>
            </w:r>
          </w:p>
        </w:tc>
        <w:tc>
          <w:tcPr>
            <w:tcW w:w="2356" w:type="dxa"/>
            <w:tcBorders>
              <w:top w:val="single" w:color="auto" w:sz="4" w:space="0"/>
              <w:left w:val="single" w:color="auto" w:sz="4" w:space="0"/>
              <w:bottom w:val="single" w:color="auto" w:sz="4" w:space="0"/>
              <w:right w:val="single" w:color="auto" w:sz="4" w:space="0"/>
            </w:tcBorders>
            <w:vAlign w:val="center"/>
          </w:tcPr>
          <w:p w14:paraId="713B0DBF">
            <w:pPr>
              <w:topLinePunct/>
              <w:spacing w:line="440" w:lineRule="exact"/>
              <w:jc w:val="center"/>
              <w:rPr>
                <w:rFonts w:ascii="Times New Roman" w:hAnsi="Times New Roman" w:cs="Times New Roman"/>
                <w:color w:val="auto"/>
                <w:szCs w:val="21"/>
              </w:rPr>
            </w:pPr>
          </w:p>
        </w:tc>
      </w:tr>
      <w:tr w14:paraId="69C46A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57098AAD">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2419E16C">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0FE9B19F">
            <w:pPr>
              <w:topLinePunct/>
              <w:spacing w:line="440" w:lineRule="exact"/>
              <w:jc w:val="center"/>
              <w:rPr>
                <w:rFonts w:ascii="Times New Roman" w:hAnsi="Times New Roman" w:cs="Times New Roman"/>
                <w:color w:val="auto"/>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134FDBE2">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电 话</w:t>
            </w:r>
          </w:p>
        </w:tc>
        <w:tc>
          <w:tcPr>
            <w:tcW w:w="2356" w:type="dxa"/>
            <w:tcBorders>
              <w:top w:val="single" w:color="auto" w:sz="4" w:space="0"/>
              <w:left w:val="single" w:color="auto" w:sz="4" w:space="0"/>
              <w:bottom w:val="single" w:color="auto" w:sz="4" w:space="0"/>
              <w:right w:val="single" w:color="auto" w:sz="4" w:space="0"/>
            </w:tcBorders>
            <w:vAlign w:val="center"/>
          </w:tcPr>
          <w:p w14:paraId="79B32CA3">
            <w:pPr>
              <w:topLinePunct/>
              <w:spacing w:line="440" w:lineRule="exact"/>
              <w:jc w:val="center"/>
              <w:rPr>
                <w:rFonts w:ascii="Times New Roman" w:hAnsi="Times New Roman" w:cs="Times New Roman"/>
                <w:color w:val="auto"/>
                <w:szCs w:val="21"/>
              </w:rPr>
            </w:pPr>
          </w:p>
        </w:tc>
      </w:tr>
      <w:tr w14:paraId="17F189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2F3AFD8D">
            <w:pPr>
              <w:topLinePunct/>
              <w:spacing w:line="440" w:lineRule="exact"/>
              <w:jc w:val="center"/>
              <w:rPr>
                <w:rFonts w:ascii="Times New Roman" w:hAnsi="Times New Roman" w:cs="Times New Roman"/>
                <w:color w:val="auto"/>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051DCF03">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职  务</w:t>
            </w:r>
          </w:p>
        </w:tc>
        <w:tc>
          <w:tcPr>
            <w:tcW w:w="2173" w:type="dxa"/>
            <w:tcBorders>
              <w:top w:val="single" w:color="auto" w:sz="4" w:space="0"/>
              <w:left w:val="single" w:color="auto" w:sz="4" w:space="0"/>
              <w:bottom w:val="single" w:color="auto" w:sz="4" w:space="0"/>
              <w:right w:val="single" w:color="auto" w:sz="4" w:space="0"/>
            </w:tcBorders>
            <w:vAlign w:val="center"/>
          </w:tcPr>
          <w:p w14:paraId="639B4FD3">
            <w:pPr>
              <w:topLinePunct/>
              <w:spacing w:line="440" w:lineRule="exact"/>
              <w:jc w:val="center"/>
              <w:rPr>
                <w:rFonts w:ascii="Times New Roman" w:hAnsi="Times New Roman" w:cs="Times New Roman"/>
                <w:color w:val="auto"/>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58523229">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电子邮箱</w:t>
            </w:r>
          </w:p>
        </w:tc>
        <w:tc>
          <w:tcPr>
            <w:tcW w:w="2356" w:type="dxa"/>
            <w:tcBorders>
              <w:top w:val="single" w:color="auto" w:sz="4" w:space="0"/>
              <w:left w:val="single" w:color="auto" w:sz="4" w:space="0"/>
              <w:bottom w:val="single" w:color="auto" w:sz="4" w:space="0"/>
              <w:right w:val="single" w:color="auto" w:sz="4" w:space="0"/>
            </w:tcBorders>
            <w:vAlign w:val="center"/>
          </w:tcPr>
          <w:p w14:paraId="645B26EF">
            <w:pPr>
              <w:topLinePunct/>
              <w:spacing w:line="440" w:lineRule="exact"/>
              <w:jc w:val="center"/>
              <w:rPr>
                <w:rFonts w:ascii="Times New Roman" w:hAnsi="Times New Roman" w:cs="Times New Roman"/>
                <w:color w:val="auto"/>
                <w:szCs w:val="21"/>
              </w:rPr>
            </w:pPr>
          </w:p>
        </w:tc>
      </w:tr>
      <w:tr w14:paraId="278452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2824671C">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17946269">
            <w:pPr>
              <w:topLinePunct/>
              <w:spacing w:line="440" w:lineRule="exact"/>
              <w:jc w:val="center"/>
              <w:rPr>
                <w:rFonts w:ascii="Times New Roman" w:hAnsi="Times New Roman" w:cs="Times New Roman"/>
                <w:color w:val="auto"/>
                <w:szCs w:val="21"/>
              </w:rPr>
            </w:pPr>
          </w:p>
        </w:tc>
        <w:tc>
          <w:tcPr>
            <w:tcW w:w="2173" w:type="dxa"/>
            <w:tcBorders>
              <w:top w:val="single" w:color="auto" w:sz="4" w:space="0"/>
              <w:left w:val="single" w:color="auto" w:sz="4" w:space="0"/>
              <w:bottom w:val="single" w:color="auto" w:sz="4" w:space="0"/>
              <w:right w:val="single" w:color="auto" w:sz="4" w:space="0"/>
            </w:tcBorders>
            <w:vAlign w:val="center"/>
          </w:tcPr>
          <w:p w14:paraId="32900354">
            <w:pPr>
              <w:topLinePunct/>
              <w:spacing w:line="440" w:lineRule="exact"/>
              <w:jc w:val="center"/>
              <w:rPr>
                <w:rFonts w:ascii="Times New Roman" w:hAnsi="Times New Roman" w:cs="Times New Roman"/>
                <w:color w:val="auto"/>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59DC754C">
            <w:pPr>
              <w:topLinePunct/>
              <w:spacing w:line="440" w:lineRule="exact"/>
              <w:jc w:val="center"/>
              <w:rPr>
                <w:rFonts w:ascii="Times New Roman" w:hAnsi="Times New Roman" w:cs="Times New Roman"/>
                <w:color w:val="auto"/>
                <w:szCs w:val="21"/>
              </w:rPr>
            </w:pPr>
          </w:p>
        </w:tc>
        <w:tc>
          <w:tcPr>
            <w:tcW w:w="2356" w:type="dxa"/>
            <w:tcBorders>
              <w:top w:val="single" w:color="auto" w:sz="4" w:space="0"/>
              <w:left w:val="single" w:color="auto" w:sz="4" w:space="0"/>
              <w:bottom w:val="single" w:color="auto" w:sz="4" w:space="0"/>
              <w:right w:val="single" w:color="auto" w:sz="4" w:space="0"/>
            </w:tcBorders>
            <w:vAlign w:val="center"/>
          </w:tcPr>
          <w:p w14:paraId="798CBEE5">
            <w:pPr>
              <w:topLinePunct/>
              <w:spacing w:line="440" w:lineRule="exact"/>
              <w:jc w:val="center"/>
              <w:rPr>
                <w:rFonts w:ascii="Times New Roman" w:hAnsi="Times New Roman" w:cs="Times New Roman"/>
                <w:color w:val="auto"/>
                <w:szCs w:val="21"/>
              </w:rPr>
            </w:pPr>
          </w:p>
        </w:tc>
      </w:tr>
      <w:tr w14:paraId="74811B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1A647783">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企业资质等级</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1B49AD11">
            <w:pPr>
              <w:topLinePunct/>
              <w:spacing w:line="440" w:lineRule="exact"/>
              <w:jc w:val="center"/>
              <w:rPr>
                <w:rFonts w:ascii="Times New Roman" w:hAnsi="Times New Roman" w:cs="Times New Roman"/>
                <w:color w:val="auto"/>
                <w:szCs w:val="21"/>
              </w:rPr>
            </w:pPr>
          </w:p>
        </w:tc>
      </w:tr>
      <w:tr w14:paraId="104365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trPr>
        <w:tc>
          <w:tcPr>
            <w:tcW w:w="1920" w:type="dxa"/>
            <w:tcBorders>
              <w:top w:val="single" w:color="auto" w:sz="4" w:space="0"/>
              <w:left w:val="single" w:color="auto" w:sz="4" w:space="0"/>
              <w:bottom w:val="single" w:color="auto" w:sz="4" w:space="0"/>
              <w:right w:val="single" w:color="auto" w:sz="4" w:space="0"/>
            </w:tcBorders>
            <w:vAlign w:val="center"/>
          </w:tcPr>
          <w:p w14:paraId="18144AE9">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资产构成情况及投资参股的关联企业情况</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5D8A9267">
            <w:pPr>
              <w:topLinePunct/>
              <w:spacing w:line="440" w:lineRule="exact"/>
              <w:rPr>
                <w:rFonts w:ascii="Times New Roman" w:hAnsi="Times New Roman" w:cs="Times New Roman"/>
                <w:color w:val="auto"/>
                <w:szCs w:val="21"/>
              </w:rPr>
            </w:pPr>
          </w:p>
          <w:p w14:paraId="281F5761">
            <w:pPr>
              <w:topLinePunct/>
              <w:spacing w:line="440" w:lineRule="exact"/>
              <w:jc w:val="center"/>
              <w:rPr>
                <w:rFonts w:ascii="Times New Roman" w:hAnsi="Times New Roman" w:cs="Times New Roman"/>
                <w:color w:val="auto"/>
                <w:szCs w:val="21"/>
              </w:rPr>
            </w:pPr>
          </w:p>
          <w:p w14:paraId="5567F589">
            <w:pPr>
              <w:topLinePunct/>
              <w:spacing w:line="440" w:lineRule="exact"/>
              <w:rPr>
                <w:rFonts w:ascii="Times New Roman" w:hAnsi="Times New Roman" w:cs="Times New Roman"/>
                <w:color w:val="auto"/>
                <w:szCs w:val="21"/>
              </w:rPr>
            </w:pPr>
          </w:p>
        </w:tc>
      </w:tr>
      <w:tr w14:paraId="6A54E0F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1920" w:type="dxa"/>
            <w:tcBorders>
              <w:top w:val="single" w:color="auto" w:sz="4" w:space="0"/>
              <w:left w:val="single" w:color="auto" w:sz="4" w:space="0"/>
              <w:bottom w:val="single" w:color="auto" w:sz="4" w:space="0"/>
              <w:right w:val="single" w:color="auto" w:sz="4" w:space="0"/>
            </w:tcBorders>
            <w:vAlign w:val="center"/>
          </w:tcPr>
          <w:p w14:paraId="04A0A70C">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备注</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22351AE1">
            <w:pPr>
              <w:topLinePunct/>
              <w:spacing w:line="440" w:lineRule="exact"/>
              <w:jc w:val="center"/>
              <w:rPr>
                <w:rFonts w:ascii="Times New Roman" w:hAnsi="Times New Roman" w:cs="Times New Roman"/>
                <w:color w:val="auto"/>
                <w:szCs w:val="21"/>
              </w:rPr>
            </w:pPr>
          </w:p>
        </w:tc>
      </w:tr>
    </w:tbl>
    <w:p w14:paraId="5547122F">
      <w:pPr>
        <w:widowControl/>
        <w:autoSpaceDE w:val="0"/>
        <w:autoSpaceDN w:val="0"/>
        <w:spacing w:line="360" w:lineRule="atLeast"/>
        <w:ind w:left="180"/>
        <w:textAlignment w:val="bottom"/>
        <w:rPr>
          <w:rFonts w:ascii="Times New Roman" w:hAnsi="Times New Roman" w:cs="Times New Roman"/>
          <w:color w:val="auto"/>
          <w:sz w:val="20"/>
          <w:szCs w:val="20"/>
        </w:rPr>
      </w:pPr>
      <w:r>
        <w:rPr>
          <w:rFonts w:ascii="Times New Roman" w:hAnsi="Times New Roman" w:eastAsia="黑体" w:cs="Times New Roman"/>
          <w:color w:val="auto"/>
          <w:szCs w:val="21"/>
        </w:rPr>
        <w:t>注：</w:t>
      </w:r>
    </w:p>
    <w:p w14:paraId="22918698">
      <w:pPr>
        <w:widowControl/>
        <w:autoSpaceDE w:val="0"/>
        <w:autoSpaceDN w:val="0"/>
        <w:spacing w:line="360" w:lineRule="atLeast"/>
        <w:ind w:left="420" w:leftChars="200"/>
        <w:textAlignment w:val="bottom"/>
        <w:rPr>
          <w:rFonts w:ascii="Times New Roman" w:hAnsi="Times New Roman" w:eastAsia="黑体" w:cs="Times New Roman"/>
          <w:color w:val="auto"/>
          <w:szCs w:val="21"/>
        </w:rPr>
      </w:pPr>
      <w:r>
        <w:rPr>
          <w:rFonts w:ascii="Times New Roman" w:hAnsi="Times New Roman" w:eastAsia="黑体" w:cs="Times New Roman"/>
          <w:color w:val="auto"/>
          <w:szCs w:val="21"/>
        </w:rPr>
        <w:t>在本表后应附企业法人营业执照（事业单位法人证书，如有）、资质证书（如有）及资格审查要求的其他证件复印件。</w:t>
      </w:r>
    </w:p>
    <w:p w14:paraId="43E52FD0">
      <w:pPr>
        <w:tabs>
          <w:tab w:val="left" w:pos="3060"/>
        </w:tabs>
        <w:topLinePunct/>
        <w:spacing w:line="440" w:lineRule="exact"/>
        <w:jc w:val="center"/>
        <w:rPr>
          <w:rFonts w:ascii="Times New Roman" w:hAnsi="Times New Roman" w:eastAsia="黑体" w:cs="Times New Roman"/>
          <w:color w:val="auto"/>
          <w:sz w:val="28"/>
          <w:szCs w:val="28"/>
        </w:rPr>
      </w:pPr>
      <w:bookmarkStart w:id="150" w:name="_Toc5889_WPSOffice_Level1"/>
      <w:bookmarkStart w:id="151" w:name="_Toc27072_WPSOffice_Level1"/>
      <w:bookmarkStart w:id="152" w:name="_Toc26594_WPSOffice_Level1"/>
      <w:bookmarkStart w:id="153" w:name="_Toc27376_WPSOffice_Level1"/>
      <w:r>
        <w:rPr>
          <w:rFonts w:hint="eastAsia" w:ascii="Times New Roman" w:hAnsi="Times New Roman" w:eastAsia="黑体" w:cs="Times New Roman"/>
          <w:color w:val="auto"/>
          <w:sz w:val="28"/>
          <w:szCs w:val="28"/>
        </w:rPr>
        <w:br w:type="page"/>
      </w:r>
      <w:r>
        <w:rPr>
          <w:rFonts w:hint="eastAsia" w:ascii="Times New Roman" w:hAnsi="Times New Roman" w:eastAsia="黑体" w:cs="Times New Roman"/>
          <w:color w:val="auto"/>
          <w:sz w:val="28"/>
          <w:szCs w:val="28"/>
        </w:rPr>
        <w:t>五</w:t>
      </w:r>
      <w:r>
        <w:rPr>
          <w:rFonts w:ascii="Times New Roman" w:hAnsi="Times New Roman" w:eastAsia="黑体" w:cs="Times New Roman"/>
          <w:color w:val="auto"/>
          <w:sz w:val="28"/>
          <w:szCs w:val="28"/>
        </w:rPr>
        <w:t>、业绩情况</w:t>
      </w:r>
    </w:p>
    <w:p w14:paraId="5F93B587">
      <w:pPr>
        <w:tabs>
          <w:tab w:val="left" w:pos="3060"/>
        </w:tabs>
        <w:topLinePunct/>
        <w:spacing w:line="440" w:lineRule="exact"/>
        <w:jc w:val="center"/>
        <w:rPr>
          <w:rFonts w:ascii="Times New Roman" w:hAnsi="Times New Roman" w:eastAsia="黑体" w:cs="Times New Roman"/>
          <w:color w:val="auto"/>
          <w:sz w:val="28"/>
          <w:szCs w:val="28"/>
        </w:rPr>
      </w:pPr>
    </w:p>
    <w:tbl>
      <w:tblPr>
        <w:tblStyle w:val="20"/>
        <w:tblW w:w="8460"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561"/>
        <w:gridCol w:w="5899"/>
      </w:tblGrid>
      <w:tr w14:paraId="08198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7933CB34">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default" w:ascii="Times New Roman" w:hAnsi="Times New Roman" w:cs="Times New Roman"/>
                <w:color w:val="auto"/>
                <w:szCs w:val="21"/>
              </w:rPr>
              <w:t>项目名称</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43993E30">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7779B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0465F828">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eastAsia" w:ascii="Times New Roman" w:hAnsi="Times New Roman" w:cs="Times New Roman"/>
                <w:color w:val="auto"/>
                <w:szCs w:val="21"/>
              </w:rPr>
              <w:t>业主</w:t>
            </w:r>
            <w:r>
              <w:rPr>
                <w:rFonts w:hint="default" w:ascii="Times New Roman" w:hAnsi="Times New Roman" w:cs="Times New Roman"/>
                <w:color w:val="auto"/>
                <w:szCs w:val="21"/>
              </w:rPr>
              <w:t>名称</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4182AE72">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24512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2286D71">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eastAsia" w:ascii="Times New Roman" w:hAnsi="Times New Roman" w:cs="Times New Roman"/>
                <w:color w:val="auto"/>
                <w:szCs w:val="21"/>
              </w:rPr>
              <w:t>业主代表姓名</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08D6FF3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5FAA4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8"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2B33224">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eastAsia" w:ascii="Times New Roman" w:hAnsi="Times New Roman" w:cs="Times New Roman"/>
                <w:color w:val="auto"/>
                <w:szCs w:val="21"/>
              </w:rPr>
              <w:t>业主代表</w:t>
            </w:r>
            <w:r>
              <w:rPr>
                <w:rFonts w:hint="default" w:ascii="Times New Roman" w:hAnsi="Times New Roman" w:cs="Times New Roman"/>
                <w:color w:val="auto"/>
                <w:szCs w:val="21"/>
              </w:rPr>
              <w:t>电话</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559B90E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7076F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17BF17C">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default" w:ascii="Times New Roman" w:hAnsi="Times New Roman" w:cs="Times New Roman"/>
                <w:color w:val="auto"/>
                <w:szCs w:val="21"/>
              </w:rPr>
              <w:t>合同价格</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0641AAAB">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7632F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F4E0FED">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eastAsia" w:ascii="Times New Roman" w:hAnsi="Times New Roman" w:cs="Times New Roman"/>
                <w:color w:val="auto"/>
                <w:szCs w:val="21"/>
                <w:lang w:val="en-US" w:eastAsia="zh-CN"/>
              </w:rPr>
              <w:t>供货</w:t>
            </w:r>
            <w:r>
              <w:rPr>
                <w:rFonts w:hint="eastAsia" w:ascii="Times New Roman" w:hAnsi="Times New Roman" w:cs="Times New Roman"/>
                <w:color w:val="auto"/>
                <w:szCs w:val="21"/>
              </w:rPr>
              <w:t>内容</w:t>
            </w:r>
            <w:r>
              <w:rPr>
                <w:rFonts w:hint="default" w:ascii="Times New Roman" w:hAnsi="Times New Roman" w:cs="Times New Roman"/>
                <w:color w:val="auto"/>
                <w:szCs w:val="21"/>
              </w:rPr>
              <w:t>描述</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516796A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7655D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3B3A1DAC">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default" w:ascii="Times New Roman" w:hAnsi="Times New Roman" w:cs="Times New Roman"/>
                <w:color w:val="auto"/>
                <w:szCs w:val="21"/>
              </w:rPr>
              <w:t>备注</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2A74865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bl>
    <w:p w14:paraId="72A07F0C">
      <w:pPr>
        <w:widowControl/>
        <w:autoSpaceDE w:val="0"/>
        <w:autoSpaceDN w:val="0"/>
        <w:spacing w:line="360" w:lineRule="atLeast"/>
        <w:ind w:left="418" w:hanging="418" w:hangingChars="209"/>
        <w:textAlignment w:val="bottom"/>
        <w:rPr>
          <w:rFonts w:ascii="Times New Roman" w:hAnsi="Times New Roman" w:eastAsia="黑体" w:cs="Times New Roman"/>
          <w:color w:val="auto"/>
          <w:szCs w:val="21"/>
        </w:rPr>
      </w:pPr>
      <w:r>
        <w:rPr>
          <w:rFonts w:ascii="Times New Roman" w:hAnsi="Times New Roman" w:eastAsia="黑体" w:cs="Times New Roman"/>
          <w:color w:val="auto"/>
          <w:sz w:val="20"/>
          <w:szCs w:val="20"/>
        </w:rPr>
        <w:t>注：</w:t>
      </w:r>
    </w:p>
    <w:p w14:paraId="1236DFD4">
      <w:pPr>
        <w:widowControl/>
        <w:autoSpaceDE w:val="0"/>
        <w:autoSpaceDN w:val="0"/>
        <w:spacing w:line="360" w:lineRule="atLeast"/>
        <w:ind w:left="420" w:leftChars="200"/>
        <w:textAlignment w:val="bottom"/>
        <w:rPr>
          <w:rFonts w:ascii="Times New Roman" w:hAnsi="Times New Roman" w:eastAsia="黑体" w:cs="Times New Roman"/>
          <w:color w:val="auto"/>
          <w:szCs w:val="21"/>
        </w:rPr>
      </w:pPr>
      <w:r>
        <w:rPr>
          <w:rFonts w:hint="eastAsia" w:ascii="Times New Roman" w:hAnsi="Times New Roman" w:eastAsia="黑体" w:cs="Times New Roman"/>
          <w:color w:val="auto"/>
          <w:szCs w:val="21"/>
        </w:rPr>
        <w:t>1、</w:t>
      </w:r>
      <w:r>
        <w:rPr>
          <w:rFonts w:ascii="Times New Roman" w:hAnsi="Times New Roman" w:eastAsia="黑体" w:cs="Times New Roman"/>
          <w:color w:val="auto"/>
          <w:szCs w:val="21"/>
        </w:rPr>
        <w:t>每张表格只填写一个项目，并标明序号。</w:t>
      </w:r>
    </w:p>
    <w:p w14:paraId="5E359437">
      <w:pPr>
        <w:widowControl/>
        <w:autoSpaceDE w:val="0"/>
        <w:autoSpaceDN w:val="0"/>
        <w:spacing w:line="360" w:lineRule="atLeast"/>
        <w:ind w:left="420" w:leftChars="200"/>
        <w:textAlignment w:val="bottom"/>
        <w:rPr>
          <w:rFonts w:ascii="Times New Roman" w:hAnsi="Times New Roman" w:eastAsia="黑体" w:cs="Times New Roman"/>
          <w:color w:val="auto"/>
          <w:szCs w:val="21"/>
        </w:rPr>
      </w:pPr>
      <w:r>
        <w:rPr>
          <w:rFonts w:hint="eastAsia" w:ascii="Times New Roman" w:hAnsi="Times New Roman" w:eastAsia="黑体" w:cs="Times New Roman"/>
          <w:color w:val="auto"/>
          <w:szCs w:val="21"/>
        </w:rPr>
        <w:t>2、业绩证明材料要求：_</w:t>
      </w:r>
      <w:r>
        <w:rPr>
          <w:rFonts w:hint="eastAsia" w:ascii="Times New Roman" w:hAnsi="Times New Roman" w:eastAsia="黑体" w:cs="Times New Roman"/>
          <w:color w:val="auto"/>
          <w:szCs w:val="21"/>
          <w:u w:val="single"/>
        </w:rPr>
        <w:t>满足前附表要求</w:t>
      </w:r>
      <w:r>
        <w:rPr>
          <w:rFonts w:hint="eastAsia" w:ascii="Times New Roman" w:hAnsi="Times New Roman" w:eastAsia="黑体" w:cs="Times New Roman"/>
          <w:color w:val="auto"/>
          <w:szCs w:val="21"/>
        </w:rPr>
        <w:t>__。</w:t>
      </w:r>
    </w:p>
    <w:p w14:paraId="4883F7C4">
      <w:pPr>
        <w:widowControl/>
        <w:autoSpaceDE w:val="0"/>
        <w:autoSpaceDN w:val="0"/>
        <w:spacing w:line="360" w:lineRule="atLeast"/>
        <w:ind w:left="420" w:leftChars="200"/>
        <w:textAlignment w:val="bottom"/>
        <w:rPr>
          <w:rFonts w:ascii="Times New Roman" w:hAnsi="Times New Roman" w:eastAsia="黑体" w:cs="Times New Roman"/>
          <w:color w:val="auto"/>
          <w:szCs w:val="21"/>
        </w:rPr>
      </w:pPr>
      <w:r>
        <w:rPr>
          <w:rFonts w:hint="eastAsia" w:ascii="Times New Roman" w:hAnsi="Times New Roman" w:eastAsia="黑体" w:cs="Times New Roman"/>
          <w:color w:val="auto"/>
          <w:szCs w:val="21"/>
        </w:rPr>
        <w:t>3、</w:t>
      </w:r>
      <w:r>
        <w:rPr>
          <w:rFonts w:ascii="Times New Roman" w:hAnsi="Times New Roman" w:eastAsia="黑体" w:cs="Times New Roman"/>
          <w:color w:val="auto"/>
          <w:szCs w:val="21"/>
        </w:rPr>
        <w:t>如近年来，供应商法人机构发生合法变更或重组或法人名称变更时，应提供相关部门的合法批件或其他相关证明材料来证明其所附业绩的继承性。</w:t>
      </w:r>
    </w:p>
    <w:p w14:paraId="09C508BA">
      <w:pPr>
        <w:widowControl/>
        <w:autoSpaceDE w:val="0"/>
        <w:autoSpaceDN w:val="0"/>
        <w:spacing w:line="360" w:lineRule="atLeast"/>
        <w:ind w:left="420" w:leftChars="200"/>
        <w:textAlignment w:val="bottom"/>
        <w:rPr>
          <w:rFonts w:ascii="Times New Roman" w:hAnsi="Times New Roman" w:eastAsia="黑体" w:cs="Times New Roman"/>
          <w:color w:val="auto"/>
          <w:szCs w:val="21"/>
        </w:rPr>
      </w:pPr>
      <w:r>
        <w:rPr>
          <w:rFonts w:hint="eastAsia" w:ascii="Times New Roman" w:hAnsi="Times New Roman" w:eastAsia="黑体" w:cs="Times New Roman"/>
          <w:color w:val="auto"/>
          <w:szCs w:val="21"/>
        </w:rPr>
        <w:t>4、业绩证明材料须提供：合同协议书，否则评审小组不予认可。 业绩金额以合同为准，业绩时间以合同签订相关文件标注的时间为准。所提供的业绩证明材料中如不能明确反映出采购文件所要求的内容的，应另附加盖业主方公章的证明材料予以明确说明，否则评审小组不予认可。</w:t>
      </w:r>
    </w:p>
    <w:p w14:paraId="66EC77F9">
      <w:pPr>
        <w:pStyle w:val="2"/>
        <w:rPr>
          <w:rFonts w:eastAsia="黑体"/>
          <w:color w:val="auto"/>
        </w:rPr>
      </w:pPr>
    </w:p>
    <w:p w14:paraId="18C37256">
      <w:pPr>
        <w:pStyle w:val="2"/>
        <w:rPr>
          <w:rFonts w:ascii="Times New Roman" w:hAnsi="Times New Roman"/>
          <w:color w:val="auto"/>
        </w:rPr>
      </w:pPr>
    </w:p>
    <w:p w14:paraId="1D060FC8">
      <w:pPr>
        <w:topLinePunct/>
        <w:spacing w:line="340" w:lineRule="atLeast"/>
        <w:jc w:val="center"/>
        <w:rPr>
          <w:rFonts w:ascii="Times New Roman" w:hAnsi="Times New Roman" w:eastAsia="黑体" w:cs="Times New Roman"/>
          <w:color w:val="auto"/>
          <w:sz w:val="24"/>
        </w:rPr>
      </w:pPr>
      <w:r>
        <w:rPr>
          <w:rFonts w:ascii="Times New Roman" w:hAnsi="Times New Roman" w:eastAsia="黑体" w:cs="Times New Roman"/>
          <w:color w:val="auto"/>
          <w:sz w:val="28"/>
          <w:szCs w:val="28"/>
        </w:rPr>
        <w:br w:type="page"/>
      </w:r>
    </w:p>
    <w:p w14:paraId="0C982A86">
      <w:pPr>
        <w:tabs>
          <w:tab w:val="left" w:pos="3060"/>
        </w:tabs>
        <w:topLinePunct/>
        <w:spacing w:line="440" w:lineRule="exact"/>
        <w:jc w:val="center"/>
        <w:outlineLvl w:val="1"/>
        <w:rPr>
          <w:rFonts w:ascii="Times New Roman" w:hAnsi="Times New Roman" w:eastAsia="黑体" w:cs="Times New Roman"/>
          <w:color w:val="auto"/>
          <w:sz w:val="28"/>
          <w:szCs w:val="28"/>
        </w:rPr>
      </w:pPr>
      <w:r>
        <w:rPr>
          <w:rFonts w:hint="eastAsia" w:ascii="Times New Roman" w:hAnsi="Times New Roman" w:eastAsia="黑体" w:cs="Times New Roman"/>
          <w:color w:val="auto"/>
          <w:sz w:val="28"/>
          <w:szCs w:val="28"/>
        </w:rPr>
        <w:t>六</w:t>
      </w:r>
      <w:r>
        <w:rPr>
          <w:rFonts w:ascii="Times New Roman" w:hAnsi="Times New Roman" w:eastAsia="黑体" w:cs="Times New Roman"/>
          <w:color w:val="auto"/>
          <w:sz w:val="28"/>
          <w:szCs w:val="28"/>
        </w:rPr>
        <w:t>、信誉情况</w:t>
      </w:r>
      <w:bookmarkEnd w:id="150"/>
      <w:bookmarkEnd w:id="151"/>
      <w:bookmarkEnd w:id="152"/>
      <w:bookmarkEnd w:id="153"/>
    </w:p>
    <w:p w14:paraId="44A4195E">
      <w:pPr>
        <w:topLinePunct/>
        <w:spacing w:line="440" w:lineRule="exact"/>
        <w:rPr>
          <w:rFonts w:ascii="Times New Roman" w:hAnsi="Times New Roman" w:cs="Times New Roman"/>
          <w:bCs/>
          <w:color w:val="auto"/>
          <w:sz w:val="23"/>
          <w:szCs w:val="23"/>
        </w:rPr>
      </w:pPr>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31CC4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tcPr>
          <w:p w14:paraId="666DF7F3">
            <w:pPr>
              <w:topLinePunct/>
              <w:spacing w:line="440" w:lineRule="exact"/>
              <w:jc w:val="center"/>
              <w:rPr>
                <w:rFonts w:ascii="Times New Roman" w:hAnsi="Times New Roman" w:cs="Times New Roman"/>
                <w:bCs/>
                <w:color w:val="auto"/>
                <w:szCs w:val="21"/>
              </w:rPr>
            </w:pPr>
            <w:r>
              <w:rPr>
                <w:rFonts w:ascii="Times New Roman" w:hAnsi="Times New Roman" w:cs="Times New Roman"/>
                <w:bCs/>
                <w:color w:val="auto"/>
                <w:szCs w:val="21"/>
              </w:rPr>
              <w:t>项 目</w:t>
            </w:r>
          </w:p>
        </w:tc>
        <w:tc>
          <w:tcPr>
            <w:tcW w:w="4445" w:type="dxa"/>
          </w:tcPr>
          <w:p w14:paraId="23CE0616">
            <w:pPr>
              <w:topLinePunct/>
              <w:spacing w:line="440" w:lineRule="exact"/>
              <w:jc w:val="center"/>
              <w:rPr>
                <w:rFonts w:ascii="Times New Roman" w:hAnsi="Times New Roman" w:cs="Times New Roman"/>
                <w:bCs/>
                <w:color w:val="auto"/>
                <w:szCs w:val="21"/>
              </w:rPr>
            </w:pPr>
            <w:r>
              <w:rPr>
                <w:rFonts w:ascii="Times New Roman" w:hAnsi="Times New Roman" w:cs="Times New Roman"/>
                <w:bCs/>
                <w:color w:val="auto"/>
                <w:szCs w:val="21"/>
              </w:rPr>
              <w:t>供应商情况说明</w:t>
            </w:r>
          </w:p>
        </w:tc>
      </w:tr>
      <w:tr w14:paraId="6854E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04E17944">
            <w:pPr>
              <w:topLinePunct/>
              <w:spacing w:line="440" w:lineRule="exact"/>
              <w:rPr>
                <w:rFonts w:ascii="Times New Roman" w:hAnsi="Times New Roman" w:cs="Times New Roman"/>
                <w:bCs/>
                <w:color w:val="auto"/>
                <w:szCs w:val="21"/>
              </w:rPr>
            </w:pPr>
            <w:r>
              <w:rPr>
                <w:rFonts w:ascii="Times New Roman" w:hAnsi="Times New Roman" w:cs="Times New Roman"/>
                <w:color w:val="auto"/>
                <w:sz w:val="24"/>
                <w:szCs w:val="28"/>
              </w:rPr>
              <w:t>是否被责令停业，暂扣或吊销执照，或吊销资质证书</w:t>
            </w:r>
          </w:p>
        </w:tc>
        <w:tc>
          <w:tcPr>
            <w:tcW w:w="4445" w:type="dxa"/>
            <w:vAlign w:val="center"/>
          </w:tcPr>
          <w:p w14:paraId="58F5CA0B">
            <w:pPr>
              <w:topLinePunct/>
              <w:spacing w:line="440" w:lineRule="exact"/>
              <w:jc w:val="center"/>
              <w:rPr>
                <w:rFonts w:ascii="Times New Roman" w:hAnsi="Times New Roman" w:eastAsia="黑体" w:cs="Times New Roman"/>
                <w:bCs/>
                <w:color w:val="auto"/>
                <w:szCs w:val="21"/>
              </w:rPr>
            </w:pPr>
          </w:p>
        </w:tc>
      </w:tr>
      <w:tr w14:paraId="7D422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1BF57A14">
            <w:pPr>
              <w:topLinePunct/>
              <w:spacing w:line="440" w:lineRule="exact"/>
              <w:rPr>
                <w:rFonts w:ascii="Times New Roman" w:hAnsi="Times New Roman" w:cs="Times New Roman"/>
                <w:bCs/>
                <w:color w:val="auto"/>
                <w:szCs w:val="21"/>
              </w:rPr>
            </w:pPr>
            <w:r>
              <w:rPr>
                <w:rFonts w:ascii="Times New Roman" w:hAnsi="Times New Roman" w:cs="Times New Roman"/>
                <w:color w:val="auto"/>
                <w:sz w:val="24"/>
                <w:szCs w:val="28"/>
              </w:rPr>
              <w:t>是否进入清算程序，或被宣告破产，或其他丧失履约能力的情形</w:t>
            </w:r>
          </w:p>
        </w:tc>
        <w:tc>
          <w:tcPr>
            <w:tcW w:w="4445" w:type="dxa"/>
            <w:vAlign w:val="center"/>
          </w:tcPr>
          <w:p w14:paraId="3359208A">
            <w:pPr>
              <w:topLinePunct/>
              <w:spacing w:line="440" w:lineRule="exact"/>
              <w:jc w:val="center"/>
              <w:rPr>
                <w:rFonts w:ascii="Times New Roman" w:hAnsi="Times New Roman" w:cs="Times New Roman"/>
                <w:bCs/>
                <w:color w:val="auto"/>
                <w:szCs w:val="21"/>
              </w:rPr>
            </w:pPr>
          </w:p>
        </w:tc>
      </w:tr>
      <w:tr w14:paraId="3EC1B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6F07017D">
            <w:pPr>
              <w:topLinePunct/>
              <w:spacing w:line="440" w:lineRule="exact"/>
              <w:rPr>
                <w:rFonts w:ascii="Times New Roman" w:hAnsi="Times New Roman" w:cs="Times New Roman"/>
                <w:bCs/>
                <w:color w:val="auto"/>
                <w:szCs w:val="21"/>
              </w:rPr>
            </w:pPr>
            <w:r>
              <w:rPr>
                <w:rFonts w:ascii="Times New Roman" w:hAnsi="Times New Roman" w:cs="Times New Roman"/>
                <w:color w:val="auto"/>
                <w:sz w:val="24"/>
                <w:szCs w:val="28"/>
              </w:rPr>
              <w:t>是否在国家企业信用信息公示系统（www.gsxt.gov.cn）中被列入严重违法失信企业名单</w:t>
            </w:r>
          </w:p>
        </w:tc>
        <w:tc>
          <w:tcPr>
            <w:tcW w:w="4445" w:type="dxa"/>
            <w:vAlign w:val="center"/>
          </w:tcPr>
          <w:p w14:paraId="7AD0FE89">
            <w:pPr>
              <w:topLinePunct/>
              <w:spacing w:line="440" w:lineRule="exact"/>
              <w:jc w:val="center"/>
              <w:rPr>
                <w:rFonts w:ascii="Times New Roman" w:hAnsi="Times New Roman" w:cs="Times New Roman"/>
                <w:bCs/>
                <w:color w:val="auto"/>
                <w:szCs w:val="21"/>
              </w:rPr>
            </w:pPr>
          </w:p>
        </w:tc>
      </w:tr>
      <w:tr w14:paraId="0EFE8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299AB724">
            <w:pPr>
              <w:topLinePunct/>
              <w:spacing w:line="440" w:lineRule="exact"/>
              <w:rPr>
                <w:rFonts w:ascii="Times New Roman" w:hAnsi="Times New Roman" w:cs="Times New Roman"/>
                <w:bCs/>
                <w:color w:val="auto"/>
                <w:szCs w:val="21"/>
              </w:rPr>
            </w:pPr>
            <w:r>
              <w:rPr>
                <w:rFonts w:ascii="Times New Roman" w:hAnsi="Times New Roman" w:cs="Times New Roman"/>
                <w:color w:val="auto"/>
                <w:sz w:val="24"/>
                <w:szCs w:val="28"/>
              </w:rPr>
              <w:t>是否在“信用中国”网站（www.creditchina.gov.cn）中被列入失信被执行人名单</w:t>
            </w:r>
          </w:p>
        </w:tc>
        <w:tc>
          <w:tcPr>
            <w:tcW w:w="4445" w:type="dxa"/>
            <w:vAlign w:val="center"/>
          </w:tcPr>
          <w:p w14:paraId="2F70A1DE">
            <w:pPr>
              <w:topLinePunct/>
              <w:spacing w:line="440" w:lineRule="exact"/>
              <w:jc w:val="center"/>
              <w:rPr>
                <w:rFonts w:ascii="Times New Roman" w:hAnsi="Times New Roman" w:cs="Times New Roman"/>
                <w:bCs/>
                <w:color w:val="auto"/>
                <w:szCs w:val="21"/>
              </w:rPr>
            </w:pPr>
          </w:p>
        </w:tc>
      </w:tr>
      <w:tr w14:paraId="215B9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55A33E7B">
            <w:pPr>
              <w:topLinePunct/>
              <w:spacing w:line="440" w:lineRule="exact"/>
              <w:rPr>
                <w:rFonts w:ascii="Times New Roman" w:hAnsi="Times New Roman" w:cs="Times New Roman"/>
                <w:bCs/>
                <w:color w:val="auto"/>
                <w:szCs w:val="21"/>
              </w:rPr>
            </w:pPr>
            <w:r>
              <w:rPr>
                <w:rFonts w:ascii="Times New Roman" w:hAnsi="Times New Roman" w:cs="Times New Roman"/>
                <w:color w:val="auto"/>
                <w:sz w:val="24"/>
                <w:szCs w:val="28"/>
              </w:rPr>
              <w:t>是否在近三年内（自响应文件递交截止之日向前追溯3年）供应商或其法定代表人、拟委任的项目经理（如有）有行贿犯罪行为</w:t>
            </w:r>
          </w:p>
        </w:tc>
        <w:tc>
          <w:tcPr>
            <w:tcW w:w="4445" w:type="dxa"/>
            <w:vAlign w:val="center"/>
          </w:tcPr>
          <w:p w14:paraId="72A0E419">
            <w:pPr>
              <w:topLinePunct/>
              <w:spacing w:line="440" w:lineRule="exact"/>
              <w:jc w:val="center"/>
              <w:rPr>
                <w:rFonts w:ascii="Times New Roman" w:hAnsi="Times New Roman" w:cs="Times New Roman"/>
                <w:bCs/>
                <w:color w:val="auto"/>
                <w:szCs w:val="21"/>
              </w:rPr>
            </w:pPr>
          </w:p>
        </w:tc>
      </w:tr>
      <w:tr w14:paraId="5DF3F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51C0C2BF">
            <w:pPr>
              <w:topLinePunct/>
              <w:spacing w:line="440" w:lineRule="exact"/>
              <w:rPr>
                <w:rFonts w:ascii="Times New Roman" w:hAnsi="Times New Roman" w:cs="Times New Roman"/>
                <w:color w:val="auto"/>
                <w:sz w:val="24"/>
                <w:szCs w:val="28"/>
              </w:rPr>
            </w:pPr>
            <w:r>
              <w:rPr>
                <w:rFonts w:ascii="Times New Roman" w:hAnsi="Times New Roman" w:cs="Times New Roman"/>
                <w:color w:val="auto"/>
                <w:sz w:val="24"/>
                <w:szCs w:val="28"/>
              </w:rPr>
              <w:t>……</w:t>
            </w:r>
          </w:p>
        </w:tc>
        <w:tc>
          <w:tcPr>
            <w:tcW w:w="4445" w:type="dxa"/>
          </w:tcPr>
          <w:p w14:paraId="6AFBEE5A">
            <w:pPr>
              <w:topLinePunct/>
              <w:spacing w:line="440" w:lineRule="exact"/>
              <w:rPr>
                <w:rFonts w:ascii="Times New Roman" w:hAnsi="Times New Roman" w:cs="Times New Roman"/>
                <w:bCs/>
                <w:color w:val="auto"/>
                <w:szCs w:val="21"/>
              </w:rPr>
            </w:pPr>
          </w:p>
        </w:tc>
      </w:tr>
    </w:tbl>
    <w:p w14:paraId="729D7498">
      <w:pPr>
        <w:spacing w:line="440" w:lineRule="exact"/>
        <w:jc w:val="left"/>
        <w:rPr>
          <w:rFonts w:ascii="Times New Roman" w:hAnsi="Times New Roman" w:cs="Times New Roman"/>
          <w:color w:val="auto"/>
          <w:sz w:val="24"/>
        </w:rPr>
      </w:pPr>
      <w:r>
        <w:rPr>
          <w:rFonts w:ascii="Times New Roman" w:hAnsi="Times New Roman" w:cs="Times New Roman"/>
          <w:color w:val="auto"/>
          <w:sz w:val="24"/>
        </w:rPr>
        <w:t>注：本表</w:t>
      </w:r>
      <w:r>
        <w:rPr>
          <w:rFonts w:hint="eastAsia" w:ascii="Times New Roman" w:hAnsi="Times New Roman" w:cs="Times New Roman"/>
          <w:color w:val="auto"/>
          <w:sz w:val="24"/>
        </w:rPr>
        <w:t>无</w:t>
      </w:r>
      <w:r>
        <w:rPr>
          <w:rFonts w:ascii="Times New Roman" w:hAnsi="Times New Roman" w:cs="Times New Roman"/>
          <w:color w:val="auto"/>
          <w:sz w:val="24"/>
        </w:rPr>
        <w:t>需附证明材料</w:t>
      </w:r>
      <w:r>
        <w:rPr>
          <w:rFonts w:hint="eastAsia" w:ascii="Times New Roman" w:hAnsi="Times New Roman" w:cs="Times New Roman"/>
          <w:color w:val="auto"/>
          <w:sz w:val="24"/>
        </w:rPr>
        <w:t>，供应商应如实填写情况说明，如无以上内容，可在情况说明处填写无即可，如有弄虚作假行为，采购人保留对供应商依法依规处理的权利</w:t>
      </w:r>
      <w:r>
        <w:rPr>
          <w:rFonts w:ascii="Times New Roman" w:hAnsi="Times New Roman" w:cs="Times New Roman"/>
          <w:color w:val="auto"/>
          <w:sz w:val="24"/>
        </w:rPr>
        <w:t>。</w:t>
      </w:r>
    </w:p>
    <w:p w14:paraId="1D8ECE6D">
      <w:pPr>
        <w:pStyle w:val="2"/>
        <w:jc w:val="right"/>
        <w:rPr>
          <w:rFonts w:ascii="Times New Roman" w:hAnsi="Times New Roman" w:cs="Times New Roman"/>
          <w:color w:val="auto"/>
          <w:sz w:val="24"/>
        </w:rPr>
      </w:pPr>
    </w:p>
    <w:p w14:paraId="0A91F1F5">
      <w:pPr>
        <w:spacing w:line="440" w:lineRule="exact"/>
        <w:jc w:val="right"/>
        <w:rPr>
          <w:rFonts w:ascii="Times New Roman" w:hAnsi="Times New Roman" w:cs="Times New Roman"/>
          <w:color w:val="auto"/>
          <w:sz w:val="24"/>
        </w:rPr>
      </w:pPr>
      <w:r>
        <w:rPr>
          <w:rFonts w:ascii="Times New Roman" w:hAnsi="Times New Roman" w:cs="Times New Roman"/>
          <w:color w:val="auto"/>
          <w:sz w:val="24"/>
        </w:rPr>
        <w:t xml:space="preserve"> 供应商：</w:t>
      </w:r>
      <w:r>
        <w:rPr>
          <w:rFonts w:ascii="Times New Roman" w:hAnsi="Times New Roman" w:cs="Times New Roman"/>
          <w:color w:val="auto"/>
          <w:sz w:val="24"/>
          <w:u w:val="single"/>
        </w:rPr>
        <w:t xml:space="preserve">                 </w:t>
      </w:r>
      <w:r>
        <w:rPr>
          <w:rFonts w:ascii="Times New Roman" w:hAnsi="Times New Roman" w:cs="Times New Roman"/>
          <w:color w:val="auto"/>
          <w:sz w:val="24"/>
        </w:rPr>
        <w:t>(盖单位章)</w:t>
      </w:r>
    </w:p>
    <w:p w14:paraId="1BFC0CFD">
      <w:pPr>
        <w:pStyle w:val="19"/>
        <w:tabs>
          <w:tab w:val="left" w:pos="1078"/>
          <w:tab w:val="left" w:pos="1176"/>
          <w:tab w:val="left" w:pos="1638"/>
          <w:tab w:val="left" w:pos="3920"/>
          <w:tab w:val="left" w:pos="5670"/>
        </w:tabs>
        <w:ind w:left="0" w:leftChars="0" w:firstLine="4320" w:firstLineChars="1800"/>
        <w:rPr>
          <w:rFonts w:ascii="Times New Roman" w:hAnsi="Times New Roman" w:cs="Times New Roman"/>
          <w:color w:val="auto"/>
          <w:sz w:val="24"/>
          <w:u w:val="single"/>
        </w:rPr>
      </w:pPr>
    </w:p>
    <w:p w14:paraId="2F8AF63E">
      <w:pPr>
        <w:pStyle w:val="19"/>
        <w:tabs>
          <w:tab w:val="left" w:pos="1078"/>
          <w:tab w:val="left" w:pos="1176"/>
          <w:tab w:val="left" w:pos="1638"/>
          <w:tab w:val="left" w:pos="3920"/>
          <w:tab w:val="left" w:pos="5670"/>
        </w:tabs>
        <w:ind w:left="0" w:leftChars="0" w:firstLine="4320" w:firstLineChars="1800"/>
        <w:rPr>
          <w:rFonts w:ascii="Times New Roman" w:hAnsi="Times New Roman" w:eastAsia="黑体" w:cs="Times New Roman"/>
          <w:color w:val="auto"/>
          <w:sz w:val="28"/>
          <w:szCs w:val="28"/>
        </w:rPr>
      </w:pPr>
      <w:r>
        <w:rPr>
          <w:rFonts w:hint="eastAsia" w:ascii="Times New Roman" w:hAnsi="Times New Roman" w:cs="Times New Roman"/>
          <w:color w:val="auto"/>
          <w:sz w:val="24"/>
          <w:u w:val="single"/>
          <w:lang w:val="en-US" w:eastAsia="zh-CN"/>
        </w:rPr>
        <w:t xml:space="preserve">      </w:t>
      </w:r>
      <w:r>
        <w:rPr>
          <w:rFonts w:ascii="Times New Roman" w:hAnsi="Times New Roman" w:cs="Times New Roman"/>
          <w:color w:val="auto"/>
          <w:sz w:val="24"/>
        </w:rPr>
        <w:t xml:space="preserve">年 </w:t>
      </w:r>
      <w:r>
        <w:rPr>
          <w:rFonts w:ascii="Times New Roman" w:hAnsi="Times New Roman" w:cs="Times New Roman"/>
          <w:color w:val="auto"/>
          <w:sz w:val="24"/>
          <w:u w:val="single"/>
        </w:rPr>
        <w:t xml:space="preserve">     </w:t>
      </w:r>
      <w:r>
        <w:rPr>
          <w:rFonts w:ascii="Times New Roman" w:hAnsi="Times New Roman" w:cs="Times New Roman"/>
          <w:color w:val="auto"/>
          <w:sz w:val="24"/>
        </w:rPr>
        <w:t>月</w:t>
      </w:r>
      <w:r>
        <w:rPr>
          <w:rFonts w:ascii="Times New Roman" w:hAnsi="Times New Roman" w:cs="Times New Roman"/>
          <w:color w:val="auto"/>
          <w:sz w:val="24"/>
          <w:u w:val="single"/>
        </w:rPr>
        <w:t xml:space="preserve">     </w:t>
      </w:r>
      <w:r>
        <w:rPr>
          <w:rFonts w:ascii="Times New Roman" w:hAnsi="Times New Roman" w:cs="Times New Roman"/>
          <w:color w:val="auto"/>
          <w:sz w:val="24"/>
        </w:rPr>
        <w:t>日</w:t>
      </w:r>
    </w:p>
    <w:p w14:paraId="01156213">
      <w:pPr>
        <w:pStyle w:val="19"/>
        <w:tabs>
          <w:tab w:val="left" w:pos="1078"/>
          <w:tab w:val="left" w:pos="1176"/>
          <w:tab w:val="left" w:pos="1638"/>
          <w:tab w:val="left" w:pos="3920"/>
          <w:tab w:val="left" w:pos="5670"/>
        </w:tabs>
        <w:ind w:firstLine="560"/>
        <w:rPr>
          <w:rFonts w:ascii="Times New Roman" w:hAnsi="Times New Roman" w:eastAsia="黑体" w:cs="Times New Roman"/>
          <w:color w:val="auto"/>
          <w:sz w:val="28"/>
          <w:szCs w:val="28"/>
        </w:rPr>
      </w:pPr>
    </w:p>
    <w:p w14:paraId="2C601333">
      <w:pPr>
        <w:widowControl/>
        <w:spacing w:line="440" w:lineRule="exact"/>
        <w:jc w:val="center"/>
        <w:rPr>
          <w:color w:val="auto"/>
        </w:rPr>
      </w:pPr>
    </w:p>
    <w:p w14:paraId="7CCD4A04">
      <w:pPr>
        <w:widowControl/>
        <w:spacing w:line="440" w:lineRule="exact"/>
        <w:jc w:val="center"/>
        <w:rPr>
          <w:color w:val="auto"/>
        </w:rPr>
      </w:pPr>
    </w:p>
    <w:p w14:paraId="6A9D7386">
      <w:pPr>
        <w:spacing w:line="440" w:lineRule="exact"/>
        <w:jc w:val="center"/>
        <w:rPr>
          <w:rFonts w:ascii="Times New Roman" w:hAnsi="Times New Roman" w:eastAsia="黑体" w:cs="Times New Roman"/>
          <w:color w:val="auto"/>
          <w:sz w:val="28"/>
          <w:szCs w:val="28"/>
        </w:rPr>
      </w:pPr>
      <w:bookmarkStart w:id="154" w:name="_Toc22014_WPSOffice_Level1"/>
      <w:bookmarkStart w:id="155" w:name="_Toc4822_WPSOffice_Level1"/>
    </w:p>
    <w:p w14:paraId="3565CBD9">
      <w:pPr>
        <w:spacing w:line="440" w:lineRule="exact"/>
        <w:jc w:val="center"/>
        <w:outlineLvl w:val="1"/>
        <w:rPr>
          <w:rFonts w:ascii="Times New Roman" w:hAnsi="Times New Roman" w:eastAsia="黑体" w:cs="Times New Roman"/>
          <w:color w:val="auto"/>
          <w:sz w:val="28"/>
          <w:szCs w:val="28"/>
        </w:rPr>
      </w:pPr>
      <w:r>
        <w:rPr>
          <w:rFonts w:hint="eastAsia" w:ascii="Times New Roman" w:hAnsi="Times New Roman" w:eastAsia="黑体" w:cs="Times New Roman"/>
          <w:color w:val="auto"/>
          <w:sz w:val="28"/>
          <w:szCs w:val="28"/>
        </w:rPr>
        <w:t>七</w:t>
      </w:r>
      <w:r>
        <w:rPr>
          <w:rFonts w:ascii="Times New Roman" w:hAnsi="Times New Roman" w:eastAsia="黑体" w:cs="Times New Roman"/>
          <w:color w:val="auto"/>
          <w:sz w:val="28"/>
          <w:szCs w:val="28"/>
        </w:rPr>
        <w:t>、其它材料</w:t>
      </w:r>
      <w:bookmarkEnd w:id="154"/>
      <w:bookmarkEnd w:id="155"/>
    </w:p>
    <w:p w14:paraId="1D4A1A74">
      <w:pPr>
        <w:pStyle w:val="2"/>
        <w:spacing w:line="360" w:lineRule="auto"/>
        <w:outlineLvl w:val="0"/>
        <w:rPr>
          <w:rFonts w:ascii="Times New Roman" w:hAnsi="Times New Roman"/>
          <w:color w:val="auto"/>
          <w:szCs w:val="28"/>
        </w:rPr>
      </w:pPr>
      <w:bookmarkStart w:id="156" w:name="_Toc6828"/>
      <w:bookmarkStart w:id="157" w:name="_Toc9702"/>
      <w:bookmarkStart w:id="158" w:name="_Toc1395"/>
      <w:bookmarkStart w:id="159" w:name="_Toc12191"/>
      <w:bookmarkStart w:id="160" w:name="_Toc9795"/>
      <w:bookmarkStart w:id="161" w:name="_Toc7562"/>
      <w:bookmarkStart w:id="162" w:name="_Toc12549"/>
      <w:bookmarkStart w:id="163" w:name="_Toc27019"/>
      <w:bookmarkStart w:id="164" w:name="_Toc32376"/>
      <w:bookmarkStart w:id="165" w:name="_Toc31755"/>
      <w:bookmarkStart w:id="166" w:name="_Toc10900"/>
      <w:bookmarkStart w:id="167" w:name="_Toc17274"/>
      <w:bookmarkStart w:id="168" w:name="_Toc17606"/>
      <w:r>
        <w:rPr>
          <w:rFonts w:hint="eastAsia" w:ascii="Times New Roman" w:hAnsi="Times New Roman"/>
          <w:color w:val="auto"/>
          <w:szCs w:val="28"/>
          <w:lang w:val="en-US" w:eastAsia="zh-CN"/>
        </w:rPr>
        <w:t>响应保证金的银行凭证（电汇回单）复印件以及</w:t>
      </w:r>
      <w:r>
        <w:rPr>
          <w:rFonts w:hint="eastAsia" w:ascii="Times New Roman" w:hAnsi="Times New Roman"/>
          <w:color w:val="auto"/>
          <w:szCs w:val="28"/>
        </w:rPr>
        <w:t>供应商认为需要递交的其它材料。</w:t>
      </w:r>
      <w:bookmarkEnd w:id="156"/>
      <w:bookmarkEnd w:id="157"/>
      <w:bookmarkEnd w:id="158"/>
      <w:bookmarkEnd w:id="159"/>
      <w:bookmarkEnd w:id="160"/>
      <w:bookmarkEnd w:id="161"/>
      <w:bookmarkEnd w:id="162"/>
      <w:bookmarkEnd w:id="163"/>
      <w:bookmarkEnd w:id="164"/>
      <w:bookmarkEnd w:id="165"/>
      <w:bookmarkEnd w:id="166"/>
      <w:bookmarkEnd w:id="167"/>
      <w:bookmarkEnd w:id="168"/>
    </w:p>
    <w:p w14:paraId="3EE586B8">
      <w:pPr>
        <w:rPr>
          <w:rFonts w:ascii="Times New Roman" w:hAnsi="Times New Roman"/>
          <w:color w:val="auto"/>
          <w:szCs w:val="28"/>
        </w:rPr>
      </w:pPr>
    </w:p>
    <w:p w14:paraId="066E0BA0">
      <w:pPr>
        <w:pStyle w:val="19"/>
        <w:tabs>
          <w:tab w:val="left" w:pos="1078"/>
          <w:tab w:val="left" w:pos="1176"/>
          <w:tab w:val="left" w:pos="1638"/>
          <w:tab w:val="left" w:pos="3920"/>
          <w:tab w:val="left" w:pos="5670"/>
        </w:tabs>
        <w:rPr>
          <w:rFonts w:ascii="Times New Roman" w:hAnsi="Times New Roman"/>
          <w:color w:val="auto"/>
          <w:szCs w:val="28"/>
        </w:rPr>
      </w:pPr>
    </w:p>
    <w:p w14:paraId="46C0B73E">
      <w:pPr>
        <w:pStyle w:val="18"/>
        <w:ind w:firstLine="210"/>
        <w:rPr>
          <w:rFonts w:ascii="Times New Roman" w:hAnsi="Times New Roman"/>
          <w:color w:val="auto"/>
          <w:szCs w:val="28"/>
        </w:rPr>
      </w:pPr>
    </w:p>
    <w:p w14:paraId="6A428F40">
      <w:pPr>
        <w:pStyle w:val="18"/>
        <w:ind w:firstLine="210"/>
        <w:rPr>
          <w:rFonts w:ascii="Times New Roman" w:hAnsi="Times New Roman"/>
          <w:color w:val="auto"/>
          <w:szCs w:val="28"/>
        </w:rPr>
      </w:pPr>
    </w:p>
    <w:p w14:paraId="167E8044">
      <w:pPr>
        <w:pStyle w:val="18"/>
        <w:ind w:firstLine="210"/>
        <w:rPr>
          <w:rFonts w:ascii="Times New Roman" w:hAnsi="Times New Roman"/>
          <w:color w:val="auto"/>
          <w:szCs w:val="28"/>
        </w:rPr>
      </w:pPr>
    </w:p>
    <w:p w14:paraId="0E0B6767">
      <w:pPr>
        <w:pStyle w:val="18"/>
        <w:ind w:firstLine="210"/>
        <w:rPr>
          <w:rFonts w:ascii="Times New Roman" w:hAnsi="Times New Roman"/>
          <w:color w:val="auto"/>
          <w:szCs w:val="28"/>
        </w:rPr>
      </w:pPr>
    </w:p>
    <w:p w14:paraId="668AA4D2">
      <w:pPr>
        <w:pStyle w:val="18"/>
        <w:ind w:firstLine="210"/>
        <w:rPr>
          <w:rFonts w:ascii="Times New Roman" w:hAnsi="Times New Roman"/>
          <w:color w:val="auto"/>
          <w:szCs w:val="28"/>
        </w:rPr>
      </w:pPr>
    </w:p>
    <w:p w14:paraId="6FE1F449">
      <w:pPr>
        <w:pStyle w:val="18"/>
        <w:ind w:firstLine="210"/>
        <w:rPr>
          <w:rFonts w:ascii="Times New Roman" w:hAnsi="Times New Roman"/>
          <w:color w:val="auto"/>
          <w:szCs w:val="28"/>
        </w:rPr>
      </w:pPr>
    </w:p>
    <w:p w14:paraId="4A659938">
      <w:pPr>
        <w:pStyle w:val="18"/>
        <w:ind w:firstLine="210"/>
        <w:rPr>
          <w:rFonts w:ascii="Times New Roman" w:hAnsi="Times New Roman"/>
          <w:color w:val="auto"/>
          <w:szCs w:val="28"/>
        </w:rPr>
      </w:pPr>
    </w:p>
    <w:p w14:paraId="36B3C732">
      <w:pPr>
        <w:pStyle w:val="18"/>
        <w:ind w:firstLine="210"/>
        <w:rPr>
          <w:rFonts w:ascii="Times New Roman" w:hAnsi="Times New Roman"/>
          <w:color w:val="auto"/>
          <w:szCs w:val="28"/>
        </w:rPr>
      </w:pPr>
    </w:p>
    <w:p w14:paraId="29ED9871">
      <w:pPr>
        <w:pStyle w:val="19"/>
        <w:tabs>
          <w:tab w:val="left" w:pos="1078"/>
          <w:tab w:val="left" w:pos="1176"/>
          <w:tab w:val="left" w:pos="1638"/>
          <w:tab w:val="left" w:pos="3920"/>
          <w:tab w:val="left" w:pos="5670"/>
        </w:tabs>
        <w:ind w:left="0" w:leftChars="0" w:firstLine="0" w:firstLineChars="0"/>
        <w:rPr>
          <w:rFonts w:eastAsia="宋体"/>
          <w:color w:val="auto"/>
        </w:rPr>
      </w:pPr>
    </w:p>
    <w:bookmarkEnd w:id="65"/>
    <w:bookmarkEnd w:id="66"/>
    <w:bookmarkEnd w:id="67"/>
    <w:bookmarkEnd w:id="68"/>
    <w:bookmarkEnd w:id="69"/>
    <w:bookmarkEnd w:id="70"/>
    <w:bookmarkEnd w:id="71"/>
    <w:bookmarkEnd w:id="72"/>
    <w:bookmarkEnd w:id="73"/>
    <w:bookmarkEnd w:id="74"/>
    <w:p w14:paraId="1AFDE146">
      <w:pPr>
        <w:pStyle w:val="33"/>
        <w:rPr>
          <w:color w:val="auto"/>
        </w:rPr>
      </w:pPr>
    </w:p>
    <w:p w14:paraId="18B7F314">
      <w:pPr>
        <w:spacing w:line="440" w:lineRule="exact"/>
        <w:jc w:val="center"/>
        <w:rPr>
          <w:rFonts w:ascii="Times New Roman" w:hAnsi="Times New Roman" w:eastAsia="黑体" w:cs="Times New Roman"/>
          <w:color w:val="auto"/>
          <w:sz w:val="28"/>
          <w:szCs w:val="28"/>
        </w:rPr>
      </w:pPr>
    </w:p>
    <w:p w14:paraId="63F50607">
      <w:pPr>
        <w:spacing w:line="440" w:lineRule="exact"/>
        <w:jc w:val="center"/>
        <w:rPr>
          <w:rFonts w:ascii="Times New Roman" w:hAnsi="Times New Roman" w:eastAsia="黑体" w:cs="Times New Roman"/>
          <w:color w:val="auto"/>
          <w:sz w:val="28"/>
          <w:szCs w:val="28"/>
        </w:rPr>
      </w:pPr>
    </w:p>
    <w:p w14:paraId="49F52A7C">
      <w:pPr>
        <w:spacing w:line="440" w:lineRule="exact"/>
        <w:jc w:val="center"/>
        <w:rPr>
          <w:rFonts w:ascii="Times New Roman" w:hAnsi="Times New Roman" w:eastAsia="黑体" w:cs="Times New Roman"/>
          <w:color w:val="auto"/>
          <w:sz w:val="28"/>
          <w:szCs w:val="28"/>
        </w:rPr>
      </w:pPr>
    </w:p>
    <w:p w14:paraId="5D6BBF1F">
      <w:pPr>
        <w:spacing w:line="440" w:lineRule="exact"/>
        <w:jc w:val="center"/>
        <w:rPr>
          <w:rFonts w:ascii="Times New Roman" w:hAnsi="Times New Roman" w:eastAsia="黑体" w:cs="Times New Roman"/>
          <w:color w:val="auto"/>
          <w:sz w:val="28"/>
          <w:szCs w:val="28"/>
        </w:rPr>
      </w:pPr>
    </w:p>
    <w:p w14:paraId="098FED92">
      <w:pPr>
        <w:spacing w:line="440" w:lineRule="exact"/>
        <w:jc w:val="center"/>
        <w:rPr>
          <w:rFonts w:ascii="Times New Roman" w:hAnsi="Times New Roman" w:eastAsia="黑体" w:cs="Times New Roman"/>
          <w:color w:val="auto"/>
          <w:sz w:val="28"/>
          <w:szCs w:val="28"/>
        </w:rPr>
      </w:pPr>
    </w:p>
    <w:p w14:paraId="71999D54">
      <w:pPr>
        <w:spacing w:line="440" w:lineRule="exact"/>
        <w:jc w:val="center"/>
        <w:rPr>
          <w:rFonts w:ascii="Times New Roman" w:hAnsi="Times New Roman" w:eastAsia="黑体" w:cs="Times New Roman"/>
          <w:color w:val="auto"/>
          <w:sz w:val="28"/>
          <w:szCs w:val="28"/>
        </w:rPr>
      </w:pPr>
    </w:p>
    <w:p w14:paraId="2D358E90">
      <w:pPr>
        <w:spacing w:line="440" w:lineRule="exact"/>
        <w:jc w:val="center"/>
        <w:rPr>
          <w:rFonts w:ascii="Times New Roman" w:hAnsi="Times New Roman" w:eastAsia="黑体" w:cs="Times New Roman"/>
          <w:color w:val="auto"/>
          <w:sz w:val="28"/>
          <w:szCs w:val="28"/>
        </w:rPr>
      </w:pPr>
    </w:p>
    <w:p w14:paraId="7AAAE547">
      <w:pPr>
        <w:spacing w:line="440" w:lineRule="exact"/>
        <w:jc w:val="center"/>
        <w:rPr>
          <w:rFonts w:ascii="Times New Roman" w:hAnsi="Times New Roman" w:eastAsia="黑体" w:cs="Times New Roman"/>
          <w:color w:val="auto"/>
          <w:sz w:val="28"/>
          <w:szCs w:val="28"/>
        </w:rPr>
      </w:pPr>
    </w:p>
    <w:p w14:paraId="092AD320">
      <w:pPr>
        <w:spacing w:line="440" w:lineRule="exact"/>
        <w:jc w:val="center"/>
        <w:rPr>
          <w:rFonts w:ascii="Times New Roman" w:hAnsi="Times New Roman" w:eastAsia="黑体" w:cs="Times New Roman"/>
          <w:color w:val="auto"/>
          <w:sz w:val="28"/>
          <w:szCs w:val="28"/>
        </w:rPr>
      </w:pPr>
    </w:p>
    <w:p w14:paraId="4AF22FB1">
      <w:pPr>
        <w:spacing w:line="440" w:lineRule="exact"/>
        <w:jc w:val="center"/>
        <w:rPr>
          <w:rFonts w:ascii="Times New Roman" w:hAnsi="Times New Roman" w:eastAsia="黑体" w:cs="Times New Roman"/>
          <w:color w:val="auto"/>
          <w:sz w:val="28"/>
          <w:szCs w:val="28"/>
        </w:rPr>
      </w:pPr>
    </w:p>
    <w:p w14:paraId="481C7490">
      <w:pPr>
        <w:spacing w:line="440" w:lineRule="exact"/>
        <w:jc w:val="center"/>
        <w:rPr>
          <w:rFonts w:ascii="Times New Roman" w:hAnsi="Times New Roman" w:eastAsia="黑体" w:cs="Times New Roman"/>
          <w:color w:val="auto"/>
          <w:sz w:val="28"/>
          <w:szCs w:val="28"/>
        </w:rPr>
      </w:pPr>
    </w:p>
    <w:p w14:paraId="06B09B4C">
      <w:pPr>
        <w:pStyle w:val="19"/>
        <w:ind w:firstLine="560"/>
        <w:rPr>
          <w:rFonts w:ascii="Times New Roman" w:hAnsi="Times New Roman" w:eastAsia="黑体" w:cs="Times New Roman"/>
          <w:color w:val="auto"/>
          <w:sz w:val="28"/>
          <w:szCs w:val="28"/>
        </w:rPr>
      </w:pPr>
    </w:p>
    <w:p w14:paraId="40426410">
      <w:pPr>
        <w:rPr>
          <w:rFonts w:ascii="Times New Roman" w:hAnsi="Times New Roman" w:eastAsia="黑体" w:cs="Times New Roman"/>
          <w:color w:val="auto"/>
          <w:sz w:val="28"/>
          <w:szCs w:val="28"/>
        </w:rPr>
      </w:pPr>
    </w:p>
    <w:p w14:paraId="4E058F28">
      <w:pPr>
        <w:pStyle w:val="19"/>
        <w:rPr>
          <w:color w:val="auto"/>
        </w:rPr>
      </w:pPr>
    </w:p>
    <w:p w14:paraId="4651C719">
      <w:pPr>
        <w:spacing w:line="440" w:lineRule="exact"/>
        <w:jc w:val="center"/>
        <w:rPr>
          <w:rFonts w:ascii="Times New Roman" w:hAnsi="Times New Roman" w:eastAsia="黑体" w:cs="Times New Roman"/>
          <w:color w:val="auto"/>
          <w:sz w:val="28"/>
          <w:szCs w:val="28"/>
        </w:rPr>
      </w:pPr>
    </w:p>
    <w:p w14:paraId="4A4FF48E">
      <w:pPr>
        <w:spacing w:line="440" w:lineRule="exact"/>
        <w:jc w:val="center"/>
        <w:rPr>
          <w:rFonts w:ascii="Times New Roman" w:hAnsi="Times New Roman" w:eastAsia="黑体" w:cs="Times New Roman"/>
          <w:color w:val="auto"/>
          <w:sz w:val="28"/>
          <w:szCs w:val="28"/>
        </w:rPr>
      </w:pPr>
    </w:p>
    <w:p w14:paraId="7865C9B1">
      <w:pPr>
        <w:rPr>
          <w:color w:val="auto"/>
        </w:rPr>
      </w:pPr>
    </w:p>
    <w:sectPr>
      <w:headerReference r:id="rId8" w:type="default"/>
      <w:footerReference r:id="rId9"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80A2D3B-C6A9-42D8-98A6-D2450A457AA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ECA180FF-5212-43AF-86A4-AFD279CA84BF}"/>
  </w:font>
  <w:font w:name="微软雅黑">
    <w:panose1 w:val="020B0503020204020204"/>
    <w:charset w:val="86"/>
    <w:family w:val="swiss"/>
    <w:pitch w:val="default"/>
    <w:sig w:usb0="80000287" w:usb1="2ACF3C50" w:usb2="00000016" w:usb3="00000000" w:csb0="0004001F" w:csb1="00000000"/>
    <w:embedRegular r:id="rId3" w:fontKey="{82BE8693-2532-4564-9376-815ACDB57262}"/>
  </w:font>
  <w:font w:name="Fang Song">
    <w:altName w:val="宋体"/>
    <w:panose1 w:val="00000000000000000000"/>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4" w:fontKey="{34581425-04E9-4985-BCBB-7CBB8B9CBE6A}"/>
  </w:font>
  <w:font w:name="华文楷体">
    <w:panose1 w:val="02010600040101010101"/>
    <w:charset w:val="86"/>
    <w:family w:val="auto"/>
    <w:pitch w:val="default"/>
    <w:sig w:usb0="00000287" w:usb1="080F0000" w:usb2="00000000" w:usb3="00000000" w:csb0="0004009F" w:csb1="DFD70000"/>
    <w:embedRegular r:id="rId5" w:fontKey="{AF00812D-E684-4EC3-8A5F-D5DF15E91597}"/>
  </w:font>
  <w:font w:name="仿宋_GB2312">
    <w:panose1 w:val="02010609030101010101"/>
    <w:charset w:val="86"/>
    <w:family w:val="modern"/>
    <w:pitch w:val="default"/>
    <w:sig w:usb0="00000001" w:usb1="080E0000" w:usb2="00000000" w:usb3="00000000" w:csb0="00040000" w:csb1="00000000"/>
    <w:embedRegular r:id="rId6" w:fontKey="{A6A5D793-559C-413C-9357-5F2A0BDA449A}"/>
  </w:font>
  <w:font w:name="仿宋">
    <w:panose1 w:val="02010609060101010101"/>
    <w:charset w:val="86"/>
    <w:family w:val="auto"/>
    <w:pitch w:val="default"/>
    <w:sig w:usb0="800002BF" w:usb1="38CF7CFA" w:usb2="00000016" w:usb3="00000000" w:csb0="00040001" w:csb1="00000000"/>
    <w:embedRegular r:id="rId7" w:fontKey="{EACF90D3-3CAA-47CB-958A-41CE2E262FA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0299DE">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3A2987">
                          <w:pPr>
                            <w:pStyle w:val="1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123A2987">
                    <w:pPr>
                      <w:pStyle w:val="1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5A8464">
    <w:pPr>
      <w:pStyle w:val="13"/>
      <w:ind w:firstLine="360"/>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AA8C59">
                          <w:pPr>
                            <w:pStyle w:val="13"/>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32AA8C59">
                    <w:pPr>
                      <w:pStyle w:val="13"/>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v:textbox>
            </v:shape>
          </w:pict>
        </mc:Fallback>
      </mc:AlternateContent>
    </w:r>
  </w:p>
  <w:p w14:paraId="2E95E4EB">
    <w:pPr>
      <w:pStyle w:val="1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F8B299">
    <w:pPr>
      <w:pStyle w:val="13"/>
      <w:ind w:firstLine="360"/>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2BCEF7">
                          <w:pPr>
                            <w:pStyle w:val="13"/>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7B2BCEF7">
                    <w:pPr>
                      <w:pStyle w:val="13"/>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v:textbox>
            </v:shape>
          </w:pict>
        </mc:Fallback>
      </mc:AlternateContent>
    </w:r>
  </w:p>
  <w:p w14:paraId="03E89ED5">
    <w:pPr>
      <w:pStyle w:val="13"/>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5F4CE">
    <w:pPr>
      <w:pStyle w:val="13"/>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7E8C02">
                          <w:pPr>
                            <w:pStyle w:val="13"/>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267E8C02">
                    <w:pPr>
                      <w:pStyle w:val="13"/>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F8E1F3">
    <w:pPr>
      <w:pStyle w:val="13"/>
      <w:ind w:firstLine="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135E2E">
                          <w:pPr>
                            <w:pStyle w:val="13"/>
                          </w:pPr>
                          <w:r>
                            <w:t xml:space="preserve">第 </w:t>
                          </w:r>
                          <w:r>
                            <w:fldChar w:fldCharType="begin"/>
                          </w:r>
                          <w:r>
                            <w:instrText xml:space="preserve"> PAGE  \* MERGEFORMAT </w:instrText>
                          </w:r>
                          <w:r>
                            <w:fldChar w:fldCharType="separate"/>
                          </w:r>
                          <w:r>
                            <w:t>48</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14:paraId="17135E2E">
                    <w:pPr>
                      <w:pStyle w:val="13"/>
                    </w:pPr>
                    <w:r>
                      <w:t xml:space="preserve">第 </w:t>
                    </w:r>
                    <w:r>
                      <w:fldChar w:fldCharType="begin"/>
                    </w:r>
                    <w:r>
                      <w:instrText xml:space="preserve"> PAGE  \* MERGEFORMAT </w:instrText>
                    </w:r>
                    <w:r>
                      <w:fldChar w:fldCharType="separate"/>
                    </w:r>
                    <w:r>
                      <w:t>48</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AEED9">
    <w:pPr>
      <w:pStyle w:val="3"/>
      <w:pBdr>
        <w:bottom w:val="none" w:color="auto" w:sz="0" w:space="1"/>
      </w:pBdr>
      <w:jc w:val="left"/>
      <w:rPr>
        <w:rFonts w:hint="default" w:ascii="仿宋_GB2312" w:hAnsi="仿宋_GB2312" w:eastAsia="仿宋_GB2312" w:cs="仿宋_GB2312"/>
        <w:b/>
        <w:bCs/>
        <w:color w:val="000000" w:themeColor="text1"/>
        <w:sz w:val="24"/>
        <w:szCs w:val="24"/>
        <w:highlight w:val="none"/>
        <w:lang w:val="en-US" w:eastAsia="zh-CN"/>
        <w14:textFill>
          <w14:solidFill>
            <w14:schemeClr w14:val="tx1"/>
          </w14:solidFill>
        </w14:textFill>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A2B424">
    <w:pPr>
      <w:pStyle w:val="3"/>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5"/>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A735E4DF"/>
    <w:multiLevelType w:val="singleLevel"/>
    <w:tmpl w:val="A735E4DF"/>
    <w:lvl w:ilvl="0" w:tentative="0">
      <w:start w:val="2"/>
      <w:numFmt w:val="chineseCounting"/>
      <w:suff w:val="nothing"/>
      <w:lvlText w:val="%1、"/>
      <w:lvlJc w:val="left"/>
      <w:rPr>
        <w:rFonts w:hint="eastAsia"/>
      </w:rPr>
    </w:lvl>
  </w:abstractNum>
  <w:abstractNum w:abstractNumId="2">
    <w:nsid w:val="2E95D47B"/>
    <w:multiLevelType w:val="singleLevel"/>
    <w:tmpl w:val="2E95D47B"/>
    <w:lvl w:ilvl="0" w:tentative="0">
      <w:start w:val="1"/>
      <w:numFmt w:val="decimal"/>
      <w:pStyle w:val="6"/>
      <w:suff w:val="nothing"/>
      <w:lvlText w:val="%1．"/>
      <w:lvlJc w:val="left"/>
      <w:pPr>
        <w:ind w:left="17" w:firstLine="400"/>
      </w:pPr>
      <w:rPr>
        <w:rFonts w:hint="default"/>
      </w:rPr>
    </w:lvl>
  </w:abstractNum>
  <w:abstractNum w:abstractNumId="3">
    <w:nsid w:val="792DD599"/>
    <w:multiLevelType w:val="singleLevel"/>
    <w:tmpl w:val="792DD599"/>
    <w:lvl w:ilvl="0" w:tentative="0">
      <w:start w:val="2"/>
      <w:numFmt w:val="decimal"/>
      <w:suff w:val="nothing"/>
      <w:lvlText w:val="%1、"/>
      <w:lvlJc w:val="left"/>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xMjg1NjViOTI2YzZhN2U4YmQyNzA3ZTU0NThhZGYifQ=="/>
  </w:docVars>
  <w:rsids>
    <w:rsidRoot w:val="00172A27"/>
    <w:rsid w:val="00176B69"/>
    <w:rsid w:val="0022317B"/>
    <w:rsid w:val="002F721C"/>
    <w:rsid w:val="00302DB5"/>
    <w:rsid w:val="00302F3A"/>
    <w:rsid w:val="005607D6"/>
    <w:rsid w:val="00653222"/>
    <w:rsid w:val="00691F7C"/>
    <w:rsid w:val="006D5ADA"/>
    <w:rsid w:val="00724BD4"/>
    <w:rsid w:val="007C6E94"/>
    <w:rsid w:val="008838A8"/>
    <w:rsid w:val="008B7770"/>
    <w:rsid w:val="00AE7E0C"/>
    <w:rsid w:val="00C34543"/>
    <w:rsid w:val="00CC5E8F"/>
    <w:rsid w:val="00D00EB5"/>
    <w:rsid w:val="00E8570D"/>
    <w:rsid w:val="00EB06B4"/>
    <w:rsid w:val="00F30554"/>
    <w:rsid w:val="015C4396"/>
    <w:rsid w:val="017B2147"/>
    <w:rsid w:val="021138F7"/>
    <w:rsid w:val="023E3C6A"/>
    <w:rsid w:val="02734FCA"/>
    <w:rsid w:val="0278442B"/>
    <w:rsid w:val="027C16B8"/>
    <w:rsid w:val="028D5673"/>
    <w:rsid w:val="029D4BEB"/>
    <w:rsid w:val="02D346A3"/>
    <w:rsid w:val="02FF7358"/>
    <w:rsid w:val="038500F8"/>
    <w:rsid w:val="038863C7"/>
    <w:rsid w:val="03A9557F"/>
    <w:rsid w:val="043E163C"/>
    <w:rsid w:val="04701D1E"/>
    <w:rsid w:val="04A27F57"/>
    <w:rsid w:val="04E034BC"/>
    <w:rsid w:val="052828BB"/>
    <w:rsid w:val="05C949EE"/>
    <w:rsid w:val="05F23A3F"/>
    <w:rsid w:val="05F94BA8"/>
    <w:rsid w:val="06341F34"/>
    <w:rsid w:val="06670E60"/>
    <w:rsid w:val="067A3D93"/>
    <w:rsid w:val="068727A0"/>
    <w:rsid w:val="068E5516"/>
    <w:rsid w:val="07063EDC"/>
    <w:rsid w:val="072009FE"/>
    <w:rsid w:val="073835B2"/>
    <w:rsid w:val="07686C15"/>
    <w:rsid w:val="076958CF"/>
    <w:rsid w:val="079C6BAA"/>
    <w:rsid w:val="07AF3996"/>
    <w:rsid w:val="090B10A0"/>
    <w:rsid w:val="09210464"/>
    <w:rsid w:val="0A1B1122"/>
    <w:rsid w:val="0A2609B4"/>
    <w:rsid w:val="0A2E7496"/>
    <w:rsid w:val="0A3F6D80"/>
    <w:rsid w:val="0A466107"/>
    <w:rsid w:val="0A941F2B"/>
    <w:rsid w:val="0AA81D70"/>
    <w:rsid w:val="0AAD73BC"/>
    <w:rsid w:val="0AB93487"/>
    <w:rsid w:val="0AF30600"/>
    <w:rsid w:val="0AF7395A"/>
    <w:rsid w:val="0B5E378F"/>
    <w:rsid w:val="0B93650C"/>
    <w:rsid w:val="0BA10DDD"/>
    <w:rsid w:val="0BDA1536"/>
    <w:rsid w:val="0BDD422F"/>
    <w:rsid w:val="0C425774"/>
    <w:rsid w:val="0C7D4058"/>
    <w:rsid w:val="0C7D6C11"/>
    <w:rsid w:val="0CAD06C0"/>
    <w:rsid w:val="0CB40654"/>
    <w:rsid w:val="0D7151A6"/>
    <w:rsid w:val="0DBD0BDC"/>
    <w:rsid w:val="0DE02F17"/>
    <w:rsid w:val="0DE4465D"/>
    <w:rsid w:val="0E053042"/>
    <w:rsid w:val="0E236E8B"/>
    <w:rsid w:val="0EA77ABC"/>
    <w:rsid w:val="0EBA46A3"/>
    <w:rsid w:val="0EBB2DAD"/>
    <w:rsid w:val="0EC328C8"/>
    <w:rsid w:val="0F31382A"/>
    <w:rsid w:val="0F531ACB"/>
    <w:rsid w:val="0F6F4854"/>
    <w:rsid w:val="0F9F0794"/>
    <w:rsid w:val="0FBE1FCA"/>
    <w:rsid w:val="0FCD5D16"/>
    <w:rsid w:val="103E486A"/>
    <w:rsid w:val="106D5B52"/>
    <w:rsid w:val="1090350E"/>
    <w:rsid w:val="10944070"/>
    <w:rsid w:val="10A6372F"/>
    <w:rsid w:val="10BB784F"/>
    <w:rsid w:val="10DA535D"/>
    <w:rsid w:val="110D2AFF"/>
    <w:rsid w:val="111A7AF4"/>
    <w:rsid w:val="11553800"/>
    <w:rsid w:val="115A7068"/>
    <w:rsid w:val="11DF30C9"/>
    <w:rsid w:val="11F117DD"/>
    <w:rsid w:val="12541D09"/>
    <w:rsid w:val="126B2BC5"/>
    <w:rsid w:val="12753A2E"/>
    <w:rsid w:val="128A572B"/>
    <w:rsid w:val="129325F3"/>
    <w:rsid w:val="12CF313E"/>
    <w:rsid w:val="12FA3B2F"/>
    <w:rsid w:val="132C74B1"/>
    <w:rsid w:val="13431F92"/>
    <w:rsid w:val="136E2BA5"/>
    <w:rsid w:val="13E11194"/>
    <w:rsid w:val="14404F9A"/>
    <w:rsid w:val="144A391D"/>
    <w:rsid w:val="146975C2"/>
    <w:rsid w:val="149434CF"/>
    <w:rsid w:val="14BC5944"/>
    <w:rsid w:val="14BF5434"/>
    <w:rsid w:val="150D43F1"/>
    <w:rsid w:val="150E5893"/>
    <w:rsid w:val="15133F2C"/>
    <w:rsid w:val="1551165A"/>
    <w:rsid w:val="15951074"/>
    <w:rsid w:val="15C3657D"/>
    <w:rsid w:val="15CE295E"/>
    <w:rsid w:val="1631170E"/>
    <w:rsid w:val="16354792"/>
    <w:rsid w:val="163D1F3A"/>
    <w:rsid w:val="16414AC9"/>
    <w:rsid w:val="165076C7"/>
    <w:rsid w:val="173619DD"/>
    <w:rsid w:val="17433839"/>
    <w:rsid w:val="174D31CB"/>
    <w:rsid w:val="188350F6"/>
    <w:rsid w:val="188C4113"/>
    <w:rsid w:val="18BF1EA7"/>
    <w:rsid w:val="191A46EE"/>
    <w:rsid w:val="19647370"/>
    <w:rsid w:val="19DE1C05"/>
    <w:rsid w:val="19F16090"/>
    <w:rsid w:val="19F305F8"/>
    <w:rsid w:val="1A185E2C"/>
    <w:rsid w:val="1A1E1F46"/>
    <w:rsid w:val="1A3C6E09"/>
    <w:rsid w:val="1A657CD8"/>
    <w:rsid w:val="1AA97D25"/>
    <w:rsid w:val="1AB80106"/>
    <w:rsid w:val="1B13501B"/>
    <w:rsid w:val="1B87260E"/>
    <w:rsid w:val="1B9229DE"/>
    <w:rsid w:val="1C0C5403"/>
    <w:rsid w:val="1C511068"/>
    <w:rsid w:val="1CB03FE0"/>
    <w:rsid w:val="1CD07137"/>
    <w:rsid w:val="1CF12CD2"/>
    <w:rsid w:val="1D3772E3"/>
    <w:rsid w:val="1D391C9D"/>
    <w:rsid w:val="1D3F5364"/>
    <w:rsid w:val="1D5F0C97"/>
    <w:rsid w:val="1D612646"/>
    <w:rsid w:val="1D9C6C71"/>
    <w:rsid w:val="1DD02C25"/>
    <w:rsid w:val="1E6366BC"/>
    <w:rsid w:val="1E7E7378"/>
    <w:rsid w:val="1E892D3B"/>
    <w:rsid w:val="1F1E0D0C"/>
    <w:rsid w:val="1F8615BF"/>
    <w:rsid w:val="1F890B18"/>
    <w:rsid w:val="1F93095F"/>
    <w:rsid w:val="1FB449F5"/>
    <w:rsid w:val="1FC01B05"/>
    <w:rsid w:val="1FF20E13"/>
    <w:rsid w:val="20220D88"/>
    <w:rsid w:val="202D724A"/>
    <w:rsid w:val="20432E03"/>
    <w:rsid w:val="205E123E"/>
    <w:rsid w:val="20CE712B"/>
    <w:rsid w:val="20E701EC"/>
    <w:rsid w:val="211663DC"/>
    <w:rsid w:val="22034BB2"/>
    <w:rsid w:val="2211172D"/>
    <w:rsid w:val="22456F98"/>
    <w:rsid w:val="224C6559"/>
    <w:rsid w:val="22A243CB"/>
    <w:rsid w:val="232C1EE7"/>
    <w:rsid w:val="23610B8C"/>
    <w:rsid w:val="24080C27"/>
    <w:rsid w:val="241D716E"/>
    <w:rsid w:val="243170E3"/>
    <w:rsid w:val="243E45C7"/>
    <w:rsid w:val="24D975C9"/>
    <w:rsid w:val="25262F8B"/>
    <w:rsid w:val="25CC7C14"/>
    <w:rsid w:val="26043B2B"/>
    <w:rsid w:val="260736DF"/>
    <w:rsid w:val="2613091A"/>
    <w:rsid w:val="265909F3"/>
    <w:rsid w:val="26971D6D"/>
    <w:rsid w:val="26E81DCB"/>
    <w:rsid w:val="26F64CE5"/>
    <w:rsid w:val="27621A0B"/>
    <w:rsid w:val="279E7B84"/>
    <w:rsid w:val="27B103DE"/>
    <w:rsid w:val="282F4953"/>
    <w:rsid w:val="285445B2"/>
    <w:rsid w:val="28D24D9C"/>
    <w:rsid w:val="28FE7045"/>
    <w:rsid w:val="2916341D"/>
    <w:rsid w:val="2941798C"/>
    <w:rsid w:val="294C5129"/>
    <w:rsid w:val="295C70D0"/>
    <w:rsid w:val="298A7967"/>
    <w:rsid w:val="29AD048E"/>
    <w:rsid w:val="2A1E20AA"/>
    <w:rsid w:val="2A7F386F"/>
    <w:rsid w:val="2A8F70B0"/>
    <w:rsid w:val="2A9F164A"/>
    <w:rsid w:val="2AE43776"/>
    <w:rsid w:val="2B1D5459"/>
    <w:rsid w:val="2BE860BC"/>
    <w:rsid w:val="2C895C20"/>
    <w:rsid w:val="2CF63C91"/>
    <w:rsid w:val="2D141CF6"/>
    <w:rsid w:val="2D945B26"/>
    <w:rsid w:val="2D984126"/>
    <w:rsid w:val="2DB048E5"/>
    <w:rsid w:val="2DCF6290"/>
    <w:rsid w:val="2DF06932"/>
    <w:rsid w:val="2E0A4375"/>
    <w:rsid w:val="2E6740D2"/>
    <w:rsid w:val="2EA119DB"/>
    <w:rsid w:val="2ED8288A"/>
    <w:rsid w:val="2F404C46"/>
    <w:rsid w:val="2F805A94"/>
    <w:rsid w:val="300246FB"/>
    <w:rsid w:val="304C62DA"/>
    <w:rsid w:val="30793AE8"/>
    <w:rsid w:val="30C628C5"/>
    <w:rsid w:val="31241EB0"/>
    <w:rsid w:val="319B3695"/>
    <w:rsid w:val="31AF5071"/>
    <w:rsid w:val="32332253"/>
    <w:rsid w:val="324271A8"/>
    <w:rsid w:val="32B15339"/>
    <w:rsid w:val="333F226C"/>
    <w:rsid w:val="33C26030"/>
    <w:rsid w:val="34232E92"/>
    <w:rsid w:val="34C603ED"/>
    <w:rsid w:val="34DF14AF"/>
    <w:rsid w:val="34E27DD1"/>
    <w:rsid w:val="35201A23"/>
    <w:rsid w:val="352E65EA"/>
    <w:rsid w:val="35843E04"/>
    <w:rsid w:val="35B540D6"/>
    <w:rsid w:val="35EF65E1"/>
    <w:rsid w:val="361938E0"/>
    <w:rsid w:val="36585F94"/>
    <w:rsid w:val="36903EA0"/>
    <w:rsid w:val="36C144C3"/>
    <w:rsid w:val="36E336C4"/>
    <w:rsid w:val="36EE3C2B"/>
    <w:rsid w:val="37B45088"/>
    <w:rsid w:val="37FC42F0"/>
    <w:rsid w:val="381A338C"/>
    <w:rsid w:val="385B429C"/>
    <w:rsid w:val="386046B4"/>
    <w:rsid w:val="388C7CC2"/>
    <w:rsid w:val="38A45E3B"/>
    <w:rsid w:val="38B92676"/>
    <w:rsid w:val="38D429AD"/>
    <w:rsid w:val="38E1635E"/>
    <w:rsid w:val="39B20761"/>
    <w:rsid w:val="39C062A2"/>
    <w:rsid w:val="39DF5AAD"/>
    <w:rsid w:val="39F257E0"/>
    <w:rsid w:val="3A1F1997"/>
    <w:rsid w:val="3A243BBF"/>
    <w:rsid w:val="3A6955BC"/>
    <w:rsid w:val="3B096510"/>
    <w:rsid w:val="3B414529"/>
    <w:rsid w:val="3B47240E"/>
    <w:rsid w:val="3B7C2F21"/>
    <w:rsid w:val="3B8A41D3"/>
    <w:rsid w:val="3BC00DC4"/>
    <w:rsid w:val="3BF07AFD"/>
    <w:rsid w:val="3C4334ED"/>
    <w:rsid w:val="3C651D50"/>
    <w:rsid w:val="3C7D47D0"/>
    <w:rsid w:val="3CF655E7"/>
    <w:rsid w:val="3CF7310E"/>
    <w:rsid w:val="3D092EBC"/>
    <w:rsid w:val="3D257C7B"/>
    <w:rsid w:val="3D6715E4"/>
    <w:rsid w:val="3DBD6105"/>
    <w:rsid w:val="3E103B9E"/>
    <w:rsid w:val="3E2829E9"/>
    <w:rsid w:val="3E3A3803"/>
    <w:rsid w:val="3E5113D8"/>
    <w:rsid w:val="3EC02C34"/>
    <w:rsid w:val="3F1B30E3"/>
    <w:rsid w:val="3F906AAE"/>
    <w:rsid w:val="3F996AB6"/>
    <w:rsid w:val="3FB452E6"/>
    <w:rsid w:val="3FF744E4"/>
    <w:rsid w:val="40182D6D"/>
    <w:rsid w:val="403D54CD"/>
    <w:rsid w:val="408028ED"/>
    <w:rsid w:val="40C52CD1"/>
    <w:rsid w:val="40CE4A65"/>
    <w:rsid w:val="41212AAF"/>
    <w:rsid w:val="4178455B"/>
    <w:rsid w:val="419F354F"/>
    <w:rsid w:val="41A4522E"/>
    <w:rsid w:val="41B873F1"/>
    <w:rsid w:val="41BB6E00"/>
    <w:rsid w:val="41CF3C5E"/>
    <w:rsid w:val="41FB71FC"/>
    <w:rsid w:val="42625E65"/>
    <w:rsid w:val="426A68F1"/>
    <w:rsid w:val="426B29F2"/>
    <w:rsid w:val="42754E3B"/>
    <w:rsid w:val="42ED38B0"/>
    <w:rsid w:val="436A288B"/>
    <w:rsid w:val="437E6337"/>
    <w:rsid w:val="439818D4"/>
    <w:rsid w:val="442716E3"/>
    <w:rsid w:val="44307631"/>
    <w:rsid w:val="4456696C"/>
    <w:rsid w:val="44623B29"/>
    <w:rsid w:val="448B1C16"/>
    <w:rsid w:val="448C332D"/>
    <w:rsid w:val="44BC7116"/>
    <w:rsid w:val="44CB7E92"/>
    <w:rsid w:val="44D53D34"/>
    <w:rsid w:val="44DF2E05"/>
    <w:rsid w:val="4551727C"/>
    <w:rsid w:val="456B6294"/>
    <w:rsid w:val="45824D6D"/>
    <w:rsid w:val="45A100BA"/>
    <w:rsid w:val="45E82159"/>
    <w:rsid w:val="45EC22B6"/>
    <w:rsid w:val="460C19D8"/>
    <w:rsid w:val="466510E8"/>
    <w:rsid w:val="46767799"/>
    <w:rsid w:val="46A43CC8"/>
    <w:rsid w:val="475036EC"/>
    <w:rsid w:val="476304E5"/>
    <w:rsid w:val="476B54CD"/>
    <w:rsid w:val="476E1B59"/>
    <w:rsid w:val="47AE4A99"/>
    <w:rsid w:val="47C02A7A"/>
    <w:rsid w:val="48407E8B"/>
    <w:rsid w:val="484E644F"/>
    <w:rsid w:val="48941C0A"/>
    <w:rsid w:val="48AE683B"/>
    <w:rsid w:val="48EE1835"/>
    <w:rsid w:val="48EF1D1A"/>
    <w:rsid w:val="48F03833"/>
    <w:rsid w:val="492204E6"/>
    <w:rsid w:val="495F6597"/>
    <w:rsid w:val="4A1B7D0B"/>
    <w:rsid w:val="4A301A0D"/>
    <w:rsid w:val="4A304D72"/>
    <w:rsid w:val="4A31001B"/>
    <w:rsid w:val="4ADA08DD"/>
    <w:rsid w:val="4AE80AC9"/>
    <w:rsid w:val="4B1A1586"/>
    <w:rsid w:val="4B294D10"/>
    <w:rsid w:val="4B2C0426"/>
    <w:rsid w:val="4B302190"/>
    <w:rsid w:val="4B6869B1"/>
    <w:rsid w:val="4B726EB7"/>
    <w:rsid w:val="4BA17322"/>
    <w:rsid w:val="4BB70638"/>
    <w:rsid w:val="4C0C0983"/>
    <w:rsid w:val="4C0D05F0"/>
    <w:rsid w:val="4C277DE9"/>
    <w:rsid w:val="4C6063F0"/>
    <w:rsid w:val="4C7D362F"/>
    <w:rsid w:val="4CB6269D"/>
    <w:rsid w:val="4CFD207A"/>
    <w:rsid w:val="4D237C5B"/>
    <w:rsid w:val="4D565C2E"/>
    <w:rsid w:val="4DB33731"/>
    <w:rsid w:val="4DB34E9F"/>
    <w:rsid w:val="4E040F77"/>
    <w:rsid w:val="4E571C5E"/>
    <w:rsid w:val="4F0478A8"/>
    <w:rsid w:val="4F570614"/>
    <w:rsid w:val="4F5A2B8D"/>
    <w:rsid w:val="4F7A3E56"/>
    <w:rsid w:val="4FBF7ABB"/>
    <w:rsid w:val="50265D8C"/>
    <w:rsid w:val="503D29A9"/>
    <w:rsid w:val="5051384E"/>
    <w:rsid w:val="5086682B"/>
    <w:rsid w:val="50932863"/>
    <w:rsid w:val="50B27620"/>
    <w:rsid w:val="50C64757"/>
    <w:rsid w:val="50CC6933"/>
    <w:rsid w:val="510A745C"/>
    <w:rsid w:val="5143781E"/>
    <w:rsid w:val="51801680"/>
    <w:rsid w:val="524B7D2C"/>
    <w:rsid w:val="525E7F64"/>
    <w:rsid w:val="52707792"/>
    <w:rsid w:val="528B597C"/>
    <w:rsid w:val="52A116FA"/>
    <w:rsid w:val="53C77F81"/>
    <w:rsid w:val="545223DC"/>
    <w:rsid w:val="54576B14"/>
    <w:rsid w:val="54A219EB"/>
    <w:rsid w:val="54DC6786"/>
    <w:rsid w:val="551B0517"/>
    <w:rsid w:val="55CA45E9"/>
    <w:rsid w:val="55CE5FAF"/>
    <w:rsid w:val="560D6F51"/>
    <w:rsid w:val="56167282"/>
    <w:rsid w:val="568D4A8B"/>
    <w:rsid w:val="576A136D"/>
    <w:rsid w:val="57713D91"/>
    <w:rsid w:val="5787376C"/>
    <w:rsid w:val="57F12437"/>
    <w:rsid w:val="58340631"/>
    <w:rsid w:val="58346B6C"/>
    <w:rsid w:val="584307E1"/>
    <w:rsid w:val="586438F5"/>
    <w:rsid w:val="588621CE"/>
    <w:rsid w:val="588927B2"/>
    <w:rsid w:val="58A2012A"/>
    <w:rsid w:val="58AC03AC"/>
    <w:rsid w:val="58B3037A"/>
    <w:rsid w:val="58C42116"/>
    <w:rsid w:val="59042B8F"/>
    <w:rsid w:val="593F38BB"/>
    <w:rsid w:val="598F3C15"/>
    <w:rsid w:val="59BA0EC5"/>
    <w:rsid w:val="5A1256BA"/>
    <w:rsid w:val="5AB51CCA"/>
    <w:rsid w:val="5AB57322"/>
    <w:rsid w:val="5AB86B82"/>
    <w:rsid w:val="5B3A093D"/>
    <w:rsid w:val="5B745BFD"/>
    <w:rsid w:val="5BC0596D"/>
    <w:rsid w:val="5BE5635E"/>
    <w:rsid w:val="5C03587B"/>
    <w:rsid w:val="5C3C13C1"/>
    <w:rsid w:val="5C4805D9"/>
    <w:rsid w:val="5D0C00B7"/>
    <w:rsid w:val="5D646797"/>
    <w:rsid w:val="5DA53F1B"/>
    <w:rsid w:val="5DC63FF9"/>
    <w:rsid w:val="5DE2007F"/>
    <w:rsid w:val="5E0771FD"/>
    <w:rsid w:val="5E20206C"/>
    <w:rsid w:val="5E2532CC"/>
    <w:rsid w:val="5FC627A0"/>
    <w:rsid w:val="5FD076A0"/>
    <w:rsid w:val="604007A4"/>
    <w:rsid w:val="605424A1"/>
    <w:rsid w:val="60BE240D"/>
    <w:rsid w:val="60C56EFB"/>
    <w:rsid w:val="60CC0666"/>
    <w:rsid w:val="612B4288"/>
    <w:rsid w:val="61393910"/>
    <w:rsid w:val="61DA4AD9"/>
    <w:rsid w:val="61E16FA2"/>
    <w:rsid w:val="62634C1E"/>
    <w:rsid w:val="6280132C"/>
    <w:rsid w:val="629D4803"/>
    <w:rsid w:val="62AE498D"/>
    <w:rsid w:val="6333639E"/>
    <w:rsid w:val="635A392B"/>
    <w:rsid w:val="63D57455"/>
    <w:rsid w:val="63FD75D1"/>
    <w:rsid w:val="63FF44D2"/>
    <w:rsid w:val="64AB0CD1"/>
    <w:rsid w:val="64D84E1A"/>
    <w:rsid w:val="65675ED4"/>
    <w:rsid w:val="65F04A1A"/>
    <w:rsid w:val="6683497C"/>
    <w:rsid w:val="66D77581"/>
    <w:rsid w:val="676E5CC7"/>
    <w:rsid w:val="67C1666E"/>
    <w:rsid w:val="67E1461B"/>
    <w:rsid w:val="67E14BAB"/>
    <w:rsid w:val="67EE0AE5"/>
    <w:rsid w:val="67F00702"/>
    <w:rsid w:val="67F32DE3"/>
    <w:rsid w:val="67F71E56"/>
    <w:rsid w:val="67FE3E7A"/>
    <w:rsid w:val="68190258"/>
    <w:rsid w:val="68212C69"/>
    <w:rsid w:val="68490CF8"/>
    <w:rsid w:val="684C44B3"/>
    <w:rsid w:val="68880F3A"/>
    <w:rsid w:val="6906636C"/>
    <w:rsid w:val="690F1726"/>
    <w:rsid w:val="69386CB3"/>
    <w:rsid w:val="69982932"/>
    <w:rsid w:val="69BE2739"/>
    <w:rsid w:val="6A2D5CB0"/>
    <w:rsid w:val="6A470981"/>
    <w:rsid w:val="6B480E55"/>
    <w:rsid w:val="6BB90159"/>
    <w:rsid w:val="6C111246"/>
    <w:rsid w:val="6C124248"/>
    <w:rsid w:val="6C162D8B"/>
    <w:rsid w:val="6C6B059F"/>
    <w:rsid w:val="6C6B0957"/>
    <w:rsid w:val="6CA00B62"/>
    <w:rsid w:val="6CFE27E3"/>
    <w:rsid w:val="6D0E5786"/>
    <w:rsid w:val="6D274D94"/>
    <w:rsid w:val="6D955447"/>
    <w:rsid w:val="6DD01AB0"/>
    <w:rsid w:val="6DEB139F"/>
    <w:rsid w:val="6E77012F"/>
    <w:rsid w:val="6E7A30D3"/>
    <w:rsid w:val="6E8B3FD1"/>
    <w:rsid w:val="6E915043"/>
    <w:rsid w:val="6E9D5013"/>
    <w:rsid w:val="6EB9624D"/>
    <w:rsid w:val="6F4D02A4"/>
    <w:rsid w:val="6F8C6CB0"/>
    <w:rsid w:val="6FDB7D0C"/>
    <w:rsid w:val="702F4391"/>
    <w:rsid w:val="706449CF"/>
    <w:rsid w:val="706B3710"/>
    <w:rsid w:val="706B4417"/>
    <w:rsid w:val="70784F6A"/>
    <w:rsid w:val="70B2470E"/>
    <w:rsid w:val="718129CA"/>
    <w:rsid w:val="71817101"/>
    <w:rsid w:val="71943263"/>
    <w:rsid w:val="71B80224"/>
    <w:rsid w:val="720B21A0"/>
    <w:rsid w:val="721D31DA"/>
    <w:rsid w:val="72775B5D"/>
    <w:rsid w:val="72C15774"/>
    <w:rsid w:val="72C76A78"/>
    <w:rsid w:val="72E163D5"/>
    <w:rsid w:val="730651BF"/>
    <w:rsid w:val="73E86D31"/>
    <w:rsid w:val="73F502A6"/>
    <w:rsid w:val="7416564C"/>
    <w:rsid w:val="7424043B"/>
    <w:rsid w:val="7452064E"/>
    <w:rsid w:val="751540E3"/>
    <w:rsid w:val="7522171E"/>
    <w:rsid w:val="756B7C19"/>
    <w:rsid w:val="757762DF"/>
    <w:rsid w:val="76085468"/>
    <w:rsid w:val="764861AD"/>
    <w:rsid w:val="765A1D4D"/>
    <w:rsid w:val="76790114"/>
    <w:rsid w:val="768E1E11"/>
    <w:rsid w:val="772B58B2"/>
    <w:rsid w:val="77822AD2"/>
    <w:rsid w:val="77C20E5D"/>
    <w:rsid w:val="77FA5EB6"/>
    <w:rsid w:val="7846297D"/>
    <w:rsid w:val="78675272"/>
    <w:rsid w:val="78753744"/>
    <w:rsid w:val="78D96650"/>
    <w:rsid w:val="791E0B39"/>
    <w:rsid w:val="79487052"/>
    <w:rsid w:val="79800ADB"/>
    <w:rsid w:val="79E06FD9"/>
    <w:rsid w:val="7A2B3BCE"/>
    <w:rsid w:val="7AC3206E"/>
    <w:rsid w:val="7AED796B"/>
    <w:rsid w:val="7AF13116"/>
    <w:rsid w:val="7AFF6ACD"/>
    <w:rsid w:val="7B436E21"/>
    <w:rsid w:val="7B9854E0"/>
    <w:rsid w:val="7BA10B54"/>
    <w:rsid w:val="7C2E374F"/>
    <w:rsid w:val="7CAA6238"/>
    <w:rsid w:val="7D0F3580"/>
    <w:rsid w:val="7D8A08B9"/>
    <w:rsid w:val="7D957F29"/>
    <w:rsid w:val="7DA02855"/>
    <w:rsid w:val="7DC73E5B"/>
    <w:rsid w:val="7DC73F51"/>
    <w:rsid w:val="7E134C71"/>
    <w:rsid w:val="7EAD3051"/>
    <w:rsid w:val="7EB12970"/>
    <w:rsid w:val="7ECE131C"/>
    <w:rsid w:val="7EEA2A28"/>
    <w:rsid w:val="7F210F90"/>
    <w:rsid w:val="7F264BB1"/>
    <w:rsid w:val="7F3E639F"/>
    <w:rsid w:val="7FA24979"/>
    <w:rsid w:val="7FC20D7E"/>
    <w:rsid w:val="7FD64E27"/>
    <w:rsid w:val="7FF60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qFormat="1"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autoRedefine/>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6">
    <w:name w:val="heading 2"/>
    <w:basedOn w:val="1"/>
    <w:next w:val="1"/>
    <w:autoRedefine/>
    <w:qFormat/>
    <w:uiPriority w:val="0"/>
    <w:pPr>
      <w:keepNext/>
      <w:keepLines/>
      <w:numPr>
        <w:ilvl w:val="0"/>
        <w:numId w:val="2"/>
      </w:numPr>
      <w:spacing w:line="360" w:lineRule="auto"/>
      <w:outlineLvl w:val="1"/>
    </w:pPr>
    <w:rPr>
      <w:rFonts w:ascii="Arial" w:hAnsi="Arial"/>
      <w:b/>
      <w:bCs/>
      <w:sz w:val="28"/>
      <w:szCs w:val="32"/>
    </w:rPr>
  </w:style>
  <w:style w:type="paragraph" w:styleId="7">
    <w:name w:val="heading 3"/>
    <w:basedOn w:val="1"/>
    <w:next w:val="1"/>
    <w:autoRedefine/>
    <w:qFormat/>
    <w:uiPriority w:val="0"/>
    <w:pPr>
      <w:keepNext/>
      <w:keepLines/>
      <w:spacing w:before="120" w:after="120" w:line="360" w:lineRule="auto"/>
      <w:jc w:val="left"/>
      <w:outlineLvl w:val="2"/>
    </w:pPr>
    <w:rPr>
      <w:rFonts w:ascii="黑体" w:hAnsi="黑体" w:eastAsia="黑体"/>
      <w:bCs/>
      <w:sz w:val="24"/>
    </w:rPr>
  </w:style>
  <w:style w:type="paragraph" w:styleId="8">
    <w:name w:val="heading 4"/>
    <w:basedOn w:val="1"/>
    <w:next w:val="1"/>
    <w:autoRedefine/>
    <w:qFormat/>
    <w:uiPriority w:val="0"/>
    <w:pPr>
      <w:keepNext/>
      <w:keepLines/>
      <w:spacing w:before="120" w:after="120" w:line="360" w:lineRule="auto"/>
      <w:ind w:firstLine="420" w:firstLineChars="200"/>
      <w:outlineLvl w:val="3"/>
    </w:pPr>
    <w:rPr>
      <w:rFonts w:ascii="Arial" w:hAnsi="Arial" w:eastAsia="黑体"/>
      <w:bCs/>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autoRedefine/>
    <w:qFormat/>
    <w:uiPriority w:val="0"/>
    <w:pPr>
      <w:spacing w:after="120"/>
    </w:pPr>
  </w:style>
  <w:style w:type="paragraph" w:styleId="3">
    <w:name w:val="header"/>
    <w:basedOn w:val="1"/>
    <w:next w:val="4"/>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Quote"/>
    <w:basedOn w:val="1"/>
    <w:next w:val="1"/>
    <w:unhideWhenUsed/>
    <w:qFormat/>
    <w:uiPriority w:val="99"/>
    <w:pPr>
      <w:spacing w:beforeLines="0" w:afterLines="0"/>
      <w:ind w:left="864" w:right="864"/>
      <w:jc w:val="center"/>
    </w:pPr>
    <w:rPr>
      <w:rFonts w:hint="default" w:ascii="Times New Roman" w:hAnsi="Times New Roman"/>
      <w:i/>
      <w:color w:val="auto"/>
      <w:sz w:val="21"/>
      <w:szCs w:val="21"/>
    </w:rPr>
  </w:style>
  <w:style w:type="paragraph" w:styleId="9">
    <w:name w:val="annotation text"/>
    <w:basedOn w:val="1"/>
    <w:unhideWhenUsed/>
    <w:qFormat/>
    <w:uiPriority w:val="0"/>
    <w:pPr>
      <w:jc w:val="left"/>
    </w:pPr>
  </w:style>
  <w:style w:type="paragraph" w:styleId="10">
    <w:name w:val="Body Text Indent"/>
    <w:basedOn w:val="1"/>
    <w:next w:val="11"/>
    <w:link w:val="39"/>
    <w:autoRedefine/>
    <w:qFormat/>
    <w:uiPriority w:val="0"/>
    <w:pPr>
      <w:spacing w:after="120"/>
      <w:ind w:left="420" w:leftChars="200"/>
    </w:pPr>
  </w:style>
  <w:style w:type="paragraph" w:styleId="11">
    <w:name w:val="envelope return"/>
    <w:basedOn w:val="1"/>
    <w:autoRedefine/>
    <w:unhideWhenUsed/>
    <w:qFormat/>
    <w:uiPriority w:val="99"/>
    <w:pPr>
      <w:snapToGrid w:val="0"/>
      <w:ind w:firstLine="200"/>
    </w:pPr>
    <w:rPr>
      <w:rFonts w:ascii="Arial" w:hAnsi="Arial" w:cs="Arial"/>
      <w:szCs w:val="20"/>
    </w:rPr>
  </w:style>
  <w:style w:type="paragraph" w:styleId="12">
    <w:name w:val="Plain Text"/>
    <w:basedOn w:val="1"/>
    <w:link w:val="40"/>
    <w:autoRedefine/>
    <w:qFormat/>
    <w:uiPriority w:val="0"/>
    <w:rPr>
      <w:rFonts w:ascii="宋体" w:hAnsi="Courier New"/>
      <w:szCs w:val="20"/>
    </w:rPr>
  </w:style>
  <w:style w:type="paragraph" w:styleId="13">
    <w:name w:val="footer"/>
    <w:basedOn w:val="1"/>
    <w:autoRedefine/>
    <w:qFormat/>
    <w:uiPriority w:val="99"/>
    <w:pPr>
      <w:tabs>
        <w:tab w:val="center" w:pos="4153"/>
        <w:tab w:val="right" w:pos="8306"/>
      </w:tabs>
      <w:snapToGrid w:val="0"/>
      <w:jc w:val="left"/>
    </w:pPr>
    <w:rPr>
      <w:sz w:val="18"/>
      <w:szCs w:val="18"/>
    </w:rPr>
  </w:style>
  <w:style w:type="paragraph" w:styleId="14">
    <w:name w:val="toc 1"/>
    <w:basedOn w:val="1"/>
    <w:next w:val="1"/>
    <w:autoRedefine/>
    <w:qFormat/>
    <w:uiPriority w:val="0"/>
  </w:style>
  <w:style w:type="paragraph" w:styleId="15">
    <w:name w:val="footnote text"/>
    <w:basedOn w:val="1"/>
    <w:autoRedefine/>
    <w:unhideWhenUsed/>
    <w:qFormat/>
    <w:uiPriority w:val="0"/>
    <w:pPr>
      <w:snapToGrid w:val="0"/>
      <w:jc w:val="left"/>
    </w:pPr>
    <w:rPr>
      <w:sz w:val="18"/>
      <w:szCs w:val="18"/>
    </w:rPr>
  </w:style>
  <w:style w:type="paragraph" w:styleId="16">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7">
    <w:name w:val="Title"/>
    <w:basedOn w:val="1"/>
    <w:next w:val="1"/>
    <w:autoRedefine/>
    <w:qFormat/>
    <w:uiPriority w:val="0"/>
    <w:pPr>
      <w:tabs>
        <w:tab w:val="left" w:pos="450"/>
      </w:tabs>
      <w:ind w:left="450" w:hanging="450"/>
      <w:jc w:val="center"/>
    </w:pPr>
    <w:rPr>
      <w:rFonts w:ascii="黑体" w:eastAsia="黑体"/>
      <w:sz w:val="32"/>
      <w:szCs w:val="20"/>
    </w:rPr>
  </w:style>
  <w:style w:type="paragraph" w:styleId="18">
    <w:name w:val="Body Text First Indent"/>
    <w:basedOn w:val="2"/>
    <w:autoRedefine/>
    <w:qFormat/>
    <w:uiPriority w:val="99"/>
    <w:pPr>
      <w:ind w:firstLine="420" w:firstLineChars="100"/>
    </w:pPr>
  </w:style>
  <w:style w:type="paragraph" w:styleId="19">
    <w:name w:val="Body Text First Indent 2"/>
    <w:basedOn w:val="10"/>
    <w:next w:val="1"/>
    <w:autoRedefine/>
    <w:qFormat/>
    <w:uiPriority w:val="0"/>
    <w:pPr>
      <w:ind w:firstLine="420" w:firstLineChars="200"/>
    </w:pPr>
    <w:rPr>
      <w:rFonts w:ascii="Calibri" w:hAnsi="Calibri"/>
      <w:szCs w:val="22"/>
    </w:rPr>
  </w:style>
  <w:style w:type="table" w:styleId="21">
    <w:name w:val="Table Grid"/>
    <w:basedOn w:val="2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basedOn w:val="22"/>
    <w:autoRedefine/>
    <w:qFormat/>
    <w:uiPriority w:val="0"/>
  </w:style>
  <w:style w:type="character" w:styleId="24">
    <w:name w:val="FollowedHyperlink"/>
    <w:basedOn w:val="22"/>
    <w:autoRedefine/>
    <w:qFormat/>
    <w:uiPriority w:val="0"/>
    <w:rPr>
      <w:color w:val="555555"/>
      <w:u w:val="none"/>
    </w:rPr>
  </w:style>
  <w:style w:type="character" w:styleId="25">
    <w:name w:val="Emphasis"/>
    <w:basedOn w:val="22"/>
    <w:autoRedefine/>
    <w:qFormat/>
    <w:uiPriority w:val="0"/>
  </w:style>
  <w:style w:type="character" w:styleId="26">
    <w:name w:val="HTML Definition"/>
    <w:basedOn w:val="22"/>
    <w:autoRedefine/>
    <w:qFormat/>
    <w:uiPriority w:val="0"/>
  </w:style>
  <w:style w:type="character" w:styleId="27">
    <w:name w:val="HTML Variable"/>
    <w:basedOn w:val="22"/>
    <w:autoRedefine/>
    <w:qFormat/>
    <w:uiPriority w:val="0"/>
  </w:style>
  <w:style w:type="character" w:styleId="28">
    <w:name w:val="Hyperlink"/>
    <w:basedOn w:val="22"/>
    <w:autoRedefine/>
    <w:unhideWhenUsed/>
    <w:qFormat/>
    <w:uiPriority w:val="99"/>
    <w:rPr>
      <w:rFonts w:ascii="Times New Roman" w:hAnsi="Times New Roman" w:eastAsia="宋体" w:cs="Times New Roman"/>
      <w:color w:val="0000FF"/>
      <w:kern w:val="2"/>
      <w:sz w:val="21"/>
      <w:szCs w:val="24"/>
      <w:u w:val="single"/>
      <w:lang w:eastAsia="zh-CN"/>
    </w:rPr>
  </w:style>
  <w:style w:type="character" w:styleId="29">
    <w:name w:val="HTML Cite"/>
    <w:basedOn w:val="22"/>
    <w:autoRedefine/>
    <w:qFormat/>
    <w:uiPriority w:val="0"/>
  </w:style>
  <w:style w:type="character" w:styleId="30">
    <w:name w:val="footnote reference"/>
    <w:autoRedefine/>
    <w:unhideWhenUsed/>
    <w:qFormat/>
    <w:uiPriority w:val="0"/>
    <w:rPr>
      <w:vertAlign w:val="superscript"/>
    </w:rPr>
  </w:style>
  <w:style w:type="paragraph" w:customStyle="1" w:styleId="31">
    <w:name w:val="引用1"/>
    <w:basedOn w:val="1"/>
    <w:next w:val="1"/>
    <w:autoRedefine/>
    <w:unhideWhenUsed/>
    <w:qFormat/>
    <w:uiPriority w:val="99"/>
    <w:pPr>
      <w:ind w:left="864" w:right="864"/>
      <w:jc w:val="center"/>
    </w:pPr>
    <w:rPr>
      <w:rFonts w:ascii="Times New Roman" w:hAnsi="Times New Roman"/>
      <w:i/>
      <w:iCs/>
      <w:color w:val="404040"/>
      <w:szCs w:val="21"/>
    </w:rPr>
  </w:style>
  <w:style w:type="paragraph" w:customStyle="1" w:styleId="32">
    <w:name w:val="引用11"/>
    <w:basedOn w:val="1"/>
    <w:next w:val="1"/>
    <w:autoRedefine/>
    <w:unhideWhenUsed/>
    <w:qFormat/>
    <w:uiPriority w:val="99"/>
    <w:pPr>
      <w:ind w:left="864" w:right="864"/>
      <w:jc w:val="center"/>
    </w:pPr>
    <w:rPr>
      <w:rFonts w:ascii="Times New Roman" w:hAnsi="Times New Roman"/>
      <w:i/>
      <w:iCs/>
      <w:color w:val="404040"/>
      <w:szCs w:val="21"/>
    </w:rPr>
  </w:style>
  <w:style w:type="paragraph" w:customStyle="1" w:styleId="33">
    <w:name w:val="Default"/>
    <w:autoRedefine/>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34">
    <w:name w:val="WPSOffice手动目录 1"/>
    <w:autoRedefine/>
    <w:qFormat/>
    <w:uiPriority w:val="0"/>
    <w:rPr>
      <w:rFonts w:asciiTheme="minorHAnsi" w:hAnsiTheme="minorHAnsi" w:eastAsiaTheme="minorEastAsia" w:cstheme="minorBidi"/>
      <w:lang w:val="en-US" w:eastAsia="zh-CN" w:bidi="ar-SA"/>
    </w:rPr>
  </w:style>
  <w:style w:type="character" w:customStyle="1" w:styleId="35">
    <w:name w:val="font61"/>
    <w:basedOn w:val="22"/>
    <w:autoRedefine/>
    <w:qFormat/>
    <w:uiPriority w:val="0"/>
    <w:rPr>
      <w:rFonts w:hint="eastAsia" w:ascii="宋体" w:hAnsi="宋体" w:eastAsia="宋体" w:cs="宋体"/>
      <w:color w:val="000000"/>
      <w:sz w:val="20"/>
      <w:szCs w:val="20"/>
      <w:u w:val="none"/>
    </w:rPr>
  </w:style>
  <w:style w:type="character" w:customStyle="1" w:styleId="36">
    <w:name w:val="font141"/>
    <w:basedOn w:val="22"/>
    <w:autoRedefine/>
    <w:qFormat/>
    <w:uiPriority w:val="0"/>
    <w:rPr>
      <w:rFonts w:hint="eastAsia" w:ascii="宋体" w:hAnsi="宋体" w:eastAsia="宋体" w:cs="宋体"/>
      <w:color w:val="000000"/>
      <w:sz w:val="24"/>
      <w:szCs w:val="24"/>
      <w:u w:val="none"/>
      <w:vertAlign w:val="superscript"/>
    </w:rPr>
  </w:style>
  <w:style w:type="paragraph" w:customStyle="1" w:styleId="37">
    <w:name w:val="样式 标题 2 + Times New Roman 四号 非加粗 段前: 5 磅 段后: 0 磅 行距: 固定值 20..."/>
    <w:basedOn w:val="6"/>
    <w:autoRedefine/>
    <w:qFormat/>
    <w:uiPriority w:val="0"/>
    <w:pPr>
      <w:spacing w:before="100" w:line="400" w:lineRule="exact"/>
    </w:pPr>
    <w:rPr>
      <w:rFonts w:ascii="Times New Roman" w:hAnsi="Times New Roman" w:eastAsia="黑体" w:cs="宋体"/>
      <w:b w:val="0"/>
      <w:bCs w:val="0"/>
      <w:kern w:val="0"/>
      <w:szCs w:val="20"/>
    </w:rPr>
  </w:style>
  <w:style w:type="paragraph" w:customStyle="1" w:styleId="38">
    <w:name w:val="列表段落1"/>
    <w:basedOn w:val="1"/>
    <w:autoRedefine/>
    <w:qFormat/>
    <w:uiPriority w:val="1"/>
    <w:pPr>
      <w:ind w:left="235" w:hanging="527"/>
    </w:pPr>
    <w:rPr>
      <w:rFonts w:ascii="宋体" w:hAnsi="宋体" w:eastAsia="宋体" w:cs="宋体"/>
      <w:lang w:val="zh-CN" w:bidi="zh-CN"/>
    </w:rPr>
  </w:style>
  <w:style w:type="character" w:customStyle="1" w:styleId="39">
    <w:name w:val="正文文本缩进 字符"/>
    <w:link w:val="10"/>
    <w:autoRedefine/>
    <w:qFormat/>
    <w:uiPriority w:val="0"/>
  </w:style>
  <w:style w:type="character" w:customStyle="1" w:styleId="40">
    <w:name w:val="纯文本 字符"/>
    <w:link w:val="12"/>
    <w:autoRedefine/>
    <w:qFormat/>
    <w:uiPriority w:val="0"/>
    <w:rPr>
      <w:rFonts w:ascii="宋体" w:hAnsi="Courier New"/>
      <w:szCs w:val="20"/>
    </w:rPr>
  </w:style>
  <w:style w:type="paragraph" w:customStyle="1" w:styleId="41">
    <w:name w:val="Table Paragraph"/>
    <w:basedOn w:val="1"/>
    <w:autoRedefine/>
    <w:qFormat/>
    <w:uiPriority w:val="1"/>
    <w:rPr>
      <w:rFonts w:ascii="宋体" w:hAnsi="宋体" w:eastAsia="宋体" w:cs="宋体"/>
    </w:rPr>
  </w:style>
  <w:style w:type="table" w:customStyle="1" w:styleId="42">
    <w:name w:val="Table Normal"/>
    <w:autoRedefine/>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3">
    <w:name w:val="Table Text"/>
    <w:autoRedefine/>
    <w:semiHidden/>
    <w:qFormat/>
    <w:uiPriority w:val="0"/>
    <w:pPr>
      <w:widowControl w:val="0"/>
      <w:jc w:val="both"/>
    </w:pPr>
    <w:rPr>
      <w:rFonts w:ascii="宋体" w:hAnsi="宋体" w:eastAsia="宋体" w:cs="宋体"/>
      <w:kern w:val="2"/>
      <w:sz w:val="22"/>
      <w:szCs w:val="22"/>
      <w:lang w:val="en-US" w:eastAsia="en-US" w:bidi="ar-SA"/>
    </w:rPr>
  </w:style>
  <w:style w:type="character" w:customStyle="1" w:styleId="44">
    <w:name w:val="font21"/>
    <w:basedOn w:val="22"/>
    <w:autoRedefine/>
    <w:qFormat/>
    <w:uiPriority w:val="0"/>
    <w:rPr>
      <w:rFonts w:hint="default" w:ascii="Arial" w:hAnsi="Arial" w:cs="Arial"/>
      <w:color w:val="000000"/>
      <w:sz w:val="22"/>
      <w:szCs w:val="22"/>
      <w:u w:val="none"/>
    </w:rPr>
  </w:style>
  <w:style w:type="paragraph" w:customStyle="1" w:styleId="45">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46">
    <w:name w:val="font51"/>
    <w:basedOn w:val="22"/>
    <w:qFormat/>
    <w:uiPriority w:val="0"/>
    <w:rPr>
      <w:rFonts w:hint="eastAsia" w:ascii="宋体" w:hAnsi="宋体" w:eastAsia="宋体" w:cs="宋体"/>
      <w:color w:val="000000"/>
      <w:sz w:val="24"/>
      <w:szCs w:val="24"/>
      <w:u w:val="none"/>
    </w:rPr>
  </w:style>
  <w:style w:type="character" w:customStyle="1" w:styleId="47">
    <w:name w:val="font41"/>
    <w:basedOn w:val="22"/>
    <w:qFormat/>
    <w:uiPriority w:val="0"/>
    <w:rPr>
      <w:rFonts w:hint="default" w:ascii="Arial" w:hAnsi="Arial" w:cs="Arial"/>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55</Pages>
  <Words>140</Words>
  <Characters>151</Characters>
  <Lines>1</Lines>
  <Paragraphs>1</Paragraphs>
  <TotalTime>29</TotalTime>
  <ScaleCrop>false</ScaleCrop>
  <LinksUpToDate>false</LinksUpToDate>
  <CharactersWithSpaces>179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2022-05-24T02:11:00Z</dcterms:created>
  <dc:creator>许鹏</dc:creator>
  <cp:lastModifiedBy>，遇见</cp:lastModifiedBy>
  <cp:lastPrinted>2025-06-18T07:19:00Z</cp:lastPrinted>
  <dcterms:modified xsi:type="dcterms:W3CDTF">2025-09-15T14:15:39Z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EB8EAAC5249D409C93AC42F466BD8472_13</vt:lpwstr>
  </property>
  <property fmtid="{D5CDD505-2E9C-101B-9397-08002B2CF9AE}" pid="4" name="KSOTemplateDocerSaveRecord">
    <vt:lpwstr>eyJoZGlkIjoiNGRiN2FjM2IwNjUxZWRiZTZhMTg1YTdmYzFhZWExNzgiLCJ1c2VySWQiOiI0MDU4NDYwODgifQ==</vt:lpwstr>
  </property>
</Properties>
</file>